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1DA425" w14:textId="755C4A9D" w:rsidR="00E9707B" w:rsidRPr="007B5403" w:rsidRDefault="00E9707B" w:rsidP="00E9707B">
      <w:pPr>
        <w:rPr>
          <w:rFonts w:cs="Arial"/>
        </w:rPr>
      </w:pPr>
      <w:bookmarkStart w:id="0" w:name="_GoBack"/>
      <w:bookmarkEnd w:id="0"/>
      <w:r w:rsidRPr="009F5E72">
        <w:rPr>
          <w:rFonts w:cs="Arial"/>
          <w:noProof/>
          <w:lang w:eastAsia="en-GB" w:bidi="ar-SA"/>
        </w:rPr>
        <w:drawing>
          <wp:inline distT="0" distB="0" distL="0" distR="0" wp14:anchorId="0B4FF3B6" wp14:editId="70A7729A">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142EE4FA" w14:textId="77777777" w:rsidR="00E9707B" w:rsidRPr="007B5403" w:rsidRDefault="00E9707B" w:rsidP="00E9707B">
      <w:pPr>
        <w:rPr>
          <w:rFonts w:cs="Arial"/>
        </w:rPr>
      </w:pPr>
    </w:p>
    <w:p w14:paraId="6DDAB139" w14:textId="77777777" w:rsidR="005B7E14" w:rsidRDefault="005B7E14" w:rsidP="005B7E14">
      <w:pPr>
        <w:rPr>
          <w:b/>
          <w:sz w:val="28"/>
          <w:szCs w:val="28"/>
        </w:rPr>
      </w:pPr>
      <w:r>
        <w:rPr>
          <w:b/>
          <w:sz w:val="28"/>
          <w:szCs w:val="28"/>
        </w:rPr>
        <w:t>13 December 2016</w:t>
      </w:r>
    </w:p>
    <w:p w14:paraId="79CDBFC7" w14:textId="77777777" w:rsidR="005B7E14" w:rsidRDefault="005B7E14" w:rsidP="005B7E14">
      <w:pPr>
        <w:rPr>
          <w:b/>
          <w:sz w:val="28"/>
          <w:szCs w:val="28"/>
        </w:rPr>
      </w:pPr>
      <w:r>
        <w:rPr>
          <w:b/>
          <w:sz w:val="28"/>
          <w:szCs w:val="28"/>
        </w:rPr>
        <w:t>[31–16]</w:t>
      </w:r>
    </w:p>
    <w:p w14:paraId="4667730E" w14:textId="77777777" w:rsidR="00E9707B" w:rsidRPr="007B5403" w:rsidRDefault="00E9707B" w:rsidP="00E9707B">
      <w:pPr>
        <w:pStyle w:val="FSTitle"/>
        <w:rPr>
          <w:rFonts w:cs="Arial"/>
          <w:b/>
          <w:sz w:val="22"/>
        </w:rPr>
      </w:pPr>
    </w:p>
    <w:p w14:paraId="09B5CD7C" w14:textId="6DEBE642" w:rsidR="00E9707B" w:rsidRPr="007B5403" w:rsidRDefault="00E9707B" w:rsidP="00E9707B">
      <w:pPr>
        <w:pStyle w:val="FSTitle"/>
        <w:rPr>
          <w:rFonts w:cs="Arial"/>
          <w:b/>
        </w:rPr>
      </w:pPr>
      <w:r w:rsidRPr="007B5403">
        <w:rPr>
          <w:rFonts w:cs="Arial"/>
          <w:b/>
        </w:rPr>
        <w:t>Supporting document 2</w:t>
      </w:r>
    </w:p>
    <w:p w14:paraId="1E98C905" w14:textId="77777777" w:rsidR="00E9707B" w:rsidRPr="007B5403" w:rsidRDefault="00E9707B" w:rsidP="00E9707B">
      <w:pPr>
        <w:rPr>
          <w:rFonts w:cs="Arial"/>
        </w:rPr>
      </w:pPr>
    </w:p>
    <w:p w14:paraId="6664766B" w14:textId="22D4E622" w:rsidR="00E9707B" w:rsidRPr="007B5403" w:rsidRDefault="00E9707B" w:rsidP="001D6232">
      <w:pPr>
        <w:pStyle w:val="FSTitle"/>
        <w:tabs>
          <w:tab w:val="left" w:pos="11025"/>
        </w:tabs>
        <w:rPr>
          <w:rFonts w:cs="Arial"/>
        </w:rPr>
      </w:pPr>
      <w:r w:rsidRPr="007B5403">
        <w:rPr>
          <w:rFonts w:cs="Arial"/>
        </w:rPr>
        <w:t xml:space="preserve">Assessment against the Policy Guidelines – Application </w:t>
      </w:r>
      <w:r w:rsidR="0038051C" w:rsidRPr="007B5403">
        <w:rPr>
          <w:rFonts w:cs="Arial"/>
        </w:rPr>
        <w:t>A1134</w:t>
      </w:r>
    </w:p>
    <w:p w14:paraId="371FCA27" w14:textId="77777777" w:rsidR="00E9707B" w:rsidRPr="007B5403" w:rsidRDefault="00E9707B" w:rsidP="00E9707B">
      <w:pPr>
        <w:rPr>
          <w:rFonts w:cs="Arial"/>
        </w:rPr>
      </w:pPr>
    </w:p>
    <w:p w14:paraId="6A167DDE" w14:textId="77777777" w:rsidR="0038051C" w:rsidRPr="007B5403" w:rsidRDefault="0038051C" w:rsidP="0038051C">
      <w:pPr>
        <w:pBdr>
          <w:bottom w:val="single" w:sz="12" w:space="1" w:color="auto"/>
        </w:pBdr>
        <w:spacing w:line="280" w:lineRule="exact"/>
        <w:rPr>
          <w:rFonts w:cs="Arial"/>
          <w:bCs/>
          <w:sz w:val="32"/>
        </w:rPr>
      </w:pPr>
      <w:r w:rsidRPr="007B5403">
        <w:rPr>
          <w:rFonts w:cs="Arial"/>
          <w:bCs/>
          <w:sz w:val="32"/>
        </w:rPr>
        <w:t>Increased Concentration of Plant Sterols in Breakfast Cereals</w:t>
      </w:r>
    </w:p>
    <w:p w14:paraId="2B7B57FF" w14:textId="77777777" w:rsidR="00E9707B" w:rsidRPr="007B5403" w:rsidRDefault="00E9707B" w:rsidP="00E9707B">
      <w:pPr>
        <w:pBdr>
          <w:bottom w:val="single" w:sz="12" w:space="1" w:color="auto"/>
        </w:pBdr>
        <w:spacing w:line="280" w:lineRule="exact"/>
        <w:rPr>
          <w:rFonts w:cs="Arial"/>
          <w:bCs/>
        </w:rPr>
      </w:pPr>
    </w:p>
    <w:p w14:paraId="35EBA8B4" w14:textId="77777777" w:rsidR="00E9707B" w:rsidRPr="007B5403" w:rsidRDefault="00E9707B" w:rsidP="00E9707B">
      <w:pPr>
        <w:rPr>
          <w:rFonts w:cs="Arial"/>
        </w:rPr>
      </w:pPr>
    </w:p>
    <w:p w14:paraId="7F657149" w14:textId="0A20BA72" w:rsidR="00E9707B" w:rsidRPr="007B5403" w:rsidRDefault="00A014D5" w:rsidP="00E9707B">
      <w:pPr>
        <w:rPr>
          <w:rFonts w:cs="Arial"/>
          <w:szCs w:val="22"/>
        </w:rPr>
      </w:pPr>
      <w:bookmarkStart w:id="1" w:name="_Toc239150678"/>
      <w:bookmarkStart w:id="2" w:name="_Toc270082666"/>
      <w:bookmarkStart w:id="3" w:name="_Toc464548735"/>
      <w:bookmarkEnd w:id="1"/>
      <w:bookmarkEnd w:id="2"/>
      <w:bookmarkEnd w:id="3"/>
      <w:r w:rsidRPr="007B5403">
        <w:rPr>
          <w:rFonts w:cs="Arial"/>
          <w:szCs w:val="22"/>
        </w:rPr>
        <w:t xml:space="preserve">Under Section 18 of the FSANZ Act, FSANZ must have regard to any written policy guidelines formulated by the </w:t>
      </w:r>
      <w:hyperlink r:id="rId10" w:history="1">
        <w:r w:rsidRPr="009F5E72">
          <w:rPr>
            <w:rStyle w:val="Hyperlink"/>
            <w:rFonts w:cs="Arial"/>
            <w:szCs w:val="22"/>
          </w:rPr>
          <w:t>Australia and New Zealand Ministerial Forum on Food Regulation</w:t>
        </w:r>
      </w:hyperlink>
      <w:r w:rsidR="0009352E" w:rsidRPr="009F5E72">
        <w:rPr>
          <w:rStyle w:val="FootnoteReference"/>
          <w:rFonts w:cs="Arial"/>
          <w:color w:val="3333FF"/>
          <w:szCs w:val="22"/>
          <w:u w:val="single"/>
        </w:rPr>
        <w:footnoteReference w:id="1"/>
      </w:r>
      <w:r w:rsidR="00057EC9" w:rsidRPr="009F5E72">
        <w:rPr>
          <w:rStyle w:val="Hyperlink"/>
          <w:rFonts w:cs="Arial"/>
          <w:szCs w:val="22"/>
        </w:rPr>
        <w:t xml:space="preserve"> </w:t>
      </w:r>
      <w:r w:rsidRPr="009F5E72">
        <w:rPr>
          <w:rFonts w:cs="Arial"/>
          <w:szCs w:val="22"/>
        </w:rPr>
        <w:t xml:space="preserve">(the Forum). </w:t>
      </w:r>
      <w:r w:rsidR="00FF4939" w:rsidRPr="009F5E72">
        <w:rPr>
          <w:rFonts w:cs="Arial"/>
          <w:szCs w:val="22"/>
        </w:rPr>
        <w:t>There are t</w:t>
      </w:r>
      <w:r w:rsidR="00E9707B" w:rsidRPr="007B5403">
        <w:rPr>
          <w:rFonts w:cs="Arial"/>
          <w:szCs w:val="22"/>
        </w:rPr>
        <w:t xml:space="preserve">wo policies </w:t>
      </w:r>
      <w:r w:rsidR="00FF4939" w:rsidRPr="007B5403">
        <w:rPr>
          <w:rFonts w:cs="Arial"/>
          <w:szCs w:val="22"/>
        </w:rPr>
        <w:t xml:space="preserve">relevant </w:t>
      </w:r>
      <w:r w:rsidR="00E9707B" w:rsidRPr="007B5403">
        <w:rPr>
          <w:rFonts w:cs="Arial"/>
          <w:szCs w:val="22"/>
        </w:rPr>
        <w:t xml:space="preserve">to </w:t>
      </w:r>
      <w:r w:rsidR="0038051C" w:rsidRPr="007B5403">
        <w:rPr>
          <w:rFonts w:cs="Arial"/>
          <w:szCs w:val="22"/>
        </w:rPr>
        <w:t>A1134:</w:t>
      </w:r>
      <w:r w:rsidR="00E9707B" w:rsidRPr="007B5403">
        <w:rPr>
          <w:rFonts w:cs="Arial"/>
          <w:szCs w:val="22"/>
        </w:rPr>
        <w:t xml:space="preserve"> </w:t>
      </w:r>
    </w:p>
    <w:p w14:paraId="3C6CE5B5" w14:textId="77777777" w:rsidR="00E9707B" w:rsidRPr="007B5403" w:rsidRDefault="00E9707B" w:rsidP="00E9707B">
      <w:pPr>
        <w:rPr>
          <w:rFonts w:cs="Arial"/>
          <w:szCs w:val="22"/>
        </w:rPr>
      </w:pPr>
    </w:p>
    <w:p w14:paraId="6B04DDDD" w14:textId="1393CC9A" w:rsidR="00E9707B" w:rsidRPr="007B5403" w:rsidRDefault="00E9707B" w:rsidP="00E9707B">
      <w:pPr>
        <w:pStyle w:val="FSBullet"/>
      </w:pPr>
      <w:r w:rsidRPr="007B5403">
        <w:t>Policy Guideline on Novel Foods</w:t>
      </w:r>
    </w:p>
    <w:p w14:paraId="34C060D2" w14:textId="6D09D287" w:rsidR="00E9707B" w:rsidRPr="007B5403" w:rsidRDefault="00E9707B" w:rsidP="00E9707B">
      <w:pPr>
        <w:pStyle w:val="FSBullet"/>
      </w:pPr>
      <w:r w:rsidRPr="007B5403">
        <w:t>Policy Guideline on the Addition to Food of Substances other than Vitamins and Minerals</w:t>
      </w:r>
      <w:r w:rsidR="004712A8" w:rsidRPr="007B5403">
        <w:t xml:space="preserve">. </w:t>
      </w:r>
    </w:p>
    <w:p w14:paraId="3AFAAF0A" w14:textId="77777777" w:rsidR="00E9707B" w:rsidRPr="007B5403" w:rsidRDefault="00E9707B" w:rsidP="00E9707B">
      <w:pPr>
        <w:rPr>
          <w:rFonts w:cs="Arial"/>
          <w:szCs w:val="22"/>
        </w:rPr>
      </w:pPr>
    </w:p>
    <w:p w14:paraId="6DF016DD" w14:textId="20BB402B" w:rsidR="00A014D5" w:rsidRPr="007B5403" w:rsidRDefault="00E9707B" w:rsidP="00E9707B">
      <w:pPr>
        <w:rPr>
          <w:rFonts w:cs="Arial"/>
          <w:szCs w:val="22"/>
        </w:rPr>
      </w:pPr>
      <w:r w:rsidRPr="009F5E72">
        <w:rPr>
          <w:rFonts w:cs="Arial"/>
        </w:rPr>
        <w:t>FSANZ has had regard to these Policy Guidelines and our assessment is summarised in the table</w:t>
      </w:r>
      <w:r w:rsidR="00C207AF" w:rsidRPr="009F5E72">
        <w:rPr>
          <w:rFonts w:cs="Arial"/>
        </w:rPr>
        <w:t>s</w:t>
      </w:r>
      <w:r w:rsidRPr="009F5E72">
        <w:rPr>
          <w:rFonts w:cs="Arial"/>
        </w:rPr>
        <w:t xml:space="preserve"> below. </w:t>
      </w:r>
    </w:p>
    <w:p w14:paraId="6FE6EEA3" w14:textId="545444A7" w:rsidR="002A7930" w:rsidRPr="009F5E72" w:rsidRDefault="002A7930">
      <w:pPr>
        <w:widowControl/>
        <w:rPr>
          <w:rFonts w:cs="Arial"/>
        </w:rPr>
      </w:pPr>
      <w:r w:rsidRPr="009F5E72">
        <w:rPr>
          <w:rFonts w:cs="Arial"/>
        </w:rPr>
        <w:br w:type="page"/>
      </w:r>
    </w:p>
    <w:p w14:paraId="5BC15043" w14:textId="1F0FEECF" w:rsidR="00E9707B" w:rsidRPr="007B5403" w:rsidRDefault="00E9707B" w:rsidP="00E9707B">
      <w:pPr>
        <w:pStyle w:val="Heading1"/>
        <w:rPr>
          <w:rFonts w:cs="Arial"/>
        </w:rPr>
      </w:pPr>
      <w:r w:rsidRPr="007B5403">
        <w:rPr>
          <w:rFonts w:cs="Arial"/>
        </w:rPr>
        <w:lastRenderedPageBreak/>
        <w:t>1</w:t>
      </w:r>
      <w:r w:rsidRPr="007B5403">
        <w:rPr>
          <w:rFonts w:cs="Arial"/>
        </w:rPr>
        <w:tab/>
        <w:t xml:space="preserve">Novel foods </w:t>
      </w:r>
    </w:p>
    <w:p w14:paraId="55CE6D76" w14:textId="3C6238DA" w:rsidR="00695265" w:rsidRPr="009F5E72" w:rsidRDefault="00E9707B" w:rsidP="00E9707B">
      <w:pPr>
        <w:spacing w:after="120"/>
        <w:rPr>
          <w:rFonts w:cs="Arial"/>
        </w:rPr>
      </w:pPr>
      <w:r w:rsidRPr="009F5E72">
        <w:rPr>
          <w:rFonts w:cs="Arial"/>
        </w:rPr>
        <w:t xml:space="preserve">The table below summarises how FSANZ has had regard to the Policy Guideline </w:t>
      </w:r>
      <w:r w:rsidR="0038051C" w:rsidRPr="009F5E72">
        <w:rPr>
          <w:rFonts w:cs="Arial"/>
        </w:rPr>
        <w:t>on Novel F</w:t>
      </w:r>
      <w:r w:rsidRPr="009F5E72">
        <w:rPr>
          <w:rFonts w:cs="Arial"/>
        </w:rPr>
        <w:t xml:space="preserve">oods.  </w:t>
      </w:r>
    </w:p>
    <w:tbl>
      <w:tblPr>
        <w:tblStyle w:val="TableGrid"/>
        <w:tblW w:w="14238" w:type="dxa"/>
        <w:tblLook w:val="04A0" w:firstRow="1" w:lastRow="0" w:firstColumn="1" w:lastColumn="0" w:noHBand="0" w:noVBand="1"/>
        <w:tblDescription w:val="This table summarises FSANZ's assessment against the Minsterial Policy Guideline on Novel Foods "/>
      </w:tblPr>
      <w:tblGrid>
        <w:gridCol w:w="5419"/>
        <w:gridCol w:w="6208"/>
        <w:gridCol w:w="2611"/>
      </w:tblGrid>
      <w:tr w:rsidR="00695265" w:rsidRPr="00695265" w14:paraId="57341162" w14:textId="77777777" w:rsidTr="00695265">
        <w:trPr>
          <w:cantSplit/>
          <w:tblHeader/>
        </w:trPr>
        <w:tc>
          <w:tcPr>
            <w:tcW w:w="1903" w:type="pct"/>
            <w:shd w:val="clear" w:color="auto" w:fill="E5DFEC" w:themeFill="accent4" w:themeFillTint="33"/>
            <w:vAlign w:val="center"/>
          </w:tcPr>
          <w:p w14:paraId="35463ED2" w14:textId="0D61C966" w:rsidR="004712A8" w:rsidRPr="00695265" w:rsidRDefault="004712A8" w:rsidP="000B2A54">
            <w:pPr>
              <w:rPr>
                <w:rFonts w:ascii="Arial" w:hAnsi="Arial" w:cs="Arial"/>
                <w:b/>
                <w:i/>
              </w:rPr>
            </w:pPr>
            <w:r w:rsidRPr="00695265">
              <w:rPr>
                <w:rFonts w:ascii="Arial" w:hAnsi="Arial" w:cs="Arial"/>
                <w:b/>
                <w:szCs w:val="20"/>
              </w:rPr>
              <w:t xml:space="preserve">High Order Policy Principles </w:t>
            </w:r>
          </w:p>
        </w:tc>
        <w:tc>
          <w:tcPr>
            <w:tcW w:w="2180" w:type="pct"/>
            <w:shd w:val="clear" w:color="auto" w:fill="E5DFEC" w:themeFill="accent4" w:themeFillTint="33"/>
            <w:vAlign w:val="center"/>
          </w:tcPr>
          <w:p w14:paraId="62E4C279" w14:textId="77777777" w:rsidR="004712A8" w:rsidRPr="00695265" w:rsidRDefault="004712A8" w:rsidP="000B2A54">
            <w:pPr>
              <w:rPr>
                <w:rFonts w:ascii="Arial" w:hAnsi="Arial" w:cs="Arial"/>
                <w:b/>
                <w:i/>
              </w:rPr>
            </w:pPr>
            <w:r w:rsidRPr="00695265">
              <w:rPr>
                <w:rFonts w:ascii="Arial" w:hAnsi="Arial" w:cs="Arial"/>
                <w:b/>
                <w:szCs w:val="20"/>
              </w:rPr>
              <w:t>Approach</w:t>
            </w:r>
          </w:p>
        </w:tc>
        <w:tc>
          <w:tcPr>
            <w:tcW w:w="917" w:type="pct"/>
            <w:shd w:val="clear" w:color="auto" w:fill="E5DFEC" w:themeFill="accent4" w:themeFillTint="33"/>
            <w:vAlign w:val="center"/>
          </w:tcPr>
          <w:p w14:paraId="7D058108" w14:textId="77777777" w:rsidR="004712A8" w:rsidRPr="00695265" w:rsidRDefault="004712A8" w:rsidP="000B2A54">
            <w:pPr>
              <w:rPr>
                <w:rFonts w:ascii="Arial" w:hAnsi="Arial" w:cs="Arial"/>
                <w:b/>
                <w:i/>
              </w:rPr>
            </w:pPr>
            <w:r w:rsidRPr="00695265">
              <w:rPr>
                <w:rFonts w:ascii="Arial" w:hAnsi="Arial" w:cs="Arial"/>
                <w:b/>
                <w:szCs w:val="20"/>
              </w:rPr>
              <w:t>Does the assessment satisfy the Policy Principles</w:t>
            </w:r>
          </w:p>
        </w:tc>
      </w:tr>
    </w:tbl>
    <w:tbl>
      <w:tblPr>
        <w:tblW w:w="14238" w:type="dxa"/>
        <w:tblCellMar>
          <w:left w:w="0" w:type="dxa"/>
          <w:right w:w="0" w:type="dxa"/>
        </w:tblCellMar>
        <w:tblLook w:val="04A0" w:firstRow="1" w:lastRow="0" w:firstColumn="1" w:lastColumn="0" w:noHBand="0" w:noVBand="1"/>
        <w:tblDescription w:val="This table summarises FSANZ's assessment against the Minsterial Policy Guideline on Novel Foods "/>
      </w:tblPr>
      <w:tblGrid>
        <w:gridCol w:w="5418"/>
        <w:gridCol w:w="6210"/>
        <w:gridCol w:w="2610"/>
      </w:tblGrid>
      <w:tr w:rsidR="004712A8" w:rsidRPr="007B5403" w14:paraId="4650DCDC" w14:textId="77777777" w:rsidTr="00695265">
        <w:trPr>
          <w:cantSplit/>
        </w:trPr>
        <w:tc>
          <w:tcPr>
            <w:tcW w:w="54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DF36B5E" w14:textId="77777777" w:rsidR="004712A8" w:rsidRPr="009F5E72" w:rsidRDefault="004712A8" w:rsidP="00B015D5">
            <w:pPr>
              <w:spacing w:before="60" w:after="60"/>
              <w:rPr>
                <w:rFonts w:cs="Arial"/>
                <w:sz w:val="20"/>
                <w:szCs w:val="20"/>
              </w:rPr>
            </w:pPr>
            <w:r w:rsidRPr="009F5E72">
              <w:rPr>
                <w:rFonts w:cs="Arial"/>
                <w:sz w:val="20"/>
                <w:szCs w:val="20"/>
              </w:rPr>
              <w:t>To ensure that priority is given to the protection and improvement of public health and safety in relation to food matters.</w:t>
            </w:r>
          </w:p>
        </w:tc>
        <w:tc>
          <w:tcPr>
            <w:tcW w:w="6210" w:type="dxa"/>
            <w:tcBorders>
              <w:top w:val="nil"/>
              <w:left w:val="nil"/>
              <w:bottom w:val="single" w:sz="8" w:space="0" w:color="000000"/>
              <w:right w:val="single" w:sz="8" w:space="0" w:color="000000"/>
            </w:tcBorders>
            <w:tcMar>
              <w:top w:w="0" w:type="dxa"/>
              <w:left w:w="108" w:type="dxa"/>
              <w:bottom w:w="0" w:type="dxa"/>
              <w:right w:w="108" w:type="dxa"/>
            </w:tcMar>
            <w:hideMark/>
          </w:tcPr>
          <w:p w14:paraId="6E6ACAA4" w14:textId="2F4DD4A0" w:rsidR="004712A8" w:rsidRPr="009F5E72" w:rsidRDefault="00DE307B" w:rsidP="00B015D5">
            <w:pPr>
              <w:spacing w:before="60" w:after="60"/>
              <w:rPr>
                <w:rFonts w:cs="Arial"/>
                <w:sz w:val="20"/>
                <w:szCs w:val="20"/>
              </w:rPr>
            </w:pPr>
            <w:r w:rsidRPr="007B5403">
              <w:rPr>
                <w:rFonts w:cs="Arial"/>
                <w:sz w:val="20"/>
                <w:szCs w:val="20"/>
              </w:rPr>
              <w:t>Addressed</w:t>
            </w:r>
            <w:r w:rsidR="00124E51" w:rsidRPr="007B5403">
              <w:rPr>
                <w:rFonts w:cs="Arial"/>
                <w:sz w:val="20"/>
                <w:szCs w:val="20"/>
              </w:rPr>
              <w:t xml:space="preserve"> in</w:t>
            </w:r>
            <w:r w:rsidRPr="007B5403">
              <w:rPr>
                <w:rFonts w:cs="Arial"/>
                <w:sz w:val="20"/>
                <w:szCs w:val="20"/>
              </w:rPr>
              <w:t xml:space="preserve"> the section about</w:t>
            </w:r>
            <w:r w:rsidR="004712A8" w:rsidRPr="007B5403">
              <w:rPr>
                <w:rFonts w:cs="Arial"/>
                <w:sz w:val="20"/>
                <w:szCs w:val="20"/>
              </w:rPr>
              <w:t xml:space="preserve"> FS</w:t>
            </w:r>
            <w:r w:rsidRPr="007B5403">
              <w:rPr>
                <w:rFonts w:cs="Arial"/>
                <w:sz w:val="20"/>
                <w:szCs w:val="20"/>
              </w:rPr>
              <w:t>ANZ’s statutory objectives (</w:t>
            </w:r>
            <w:r w:rsidR="004712A8" w:rsidRPr="007B5403">
              <w:rPr>
                <w:rFonts w:cs="Arial"/>
                <w:sz w:val="20"/>
                <w:szCs w:val="20"/>
              </w:rPr>
              <w:t>section 2.4.2</w:t>
            </w:r>
            <w:r w:rsidRPr="007B5403">
              <w:rPr>
                <w:rFonts w:cs="Arial"/>
                <w:sz w:val="20"/>
                <w:szCs w:val="20"/>
              </w:rPr>
              <w:t xml:space="preserve">) of the </w:t>
            </w:r>
            <w:r w:rsidR="00105338" w:rsidRPr="007B5403">
              <w:rPr>
                <w:rFonts w:cs="Arial"/>
                <w:sz w:val="20"/>
                <w:szCs w:val="20"/>
              </w:rPr>
              <w:t>assessment summary</w:t>
            </w:r>
            <w:r w:rsidRPr="007B5403">
              <w:rPr>
                <w:rFonts w:cs="Arial"/>
                <w:sz w:val="20"/>
                <w:szCs w:val="20"/>
              </w:rPr>
              <w:t xml:space="preserve">. </w:t>
            </w:r>
          </w:p>
        </w:tc>
        <w:tc>
          <w:tcPr>
            <w:tcW w:w="2610" w:type="dxa"/>
            <w:tcBorders>
              <w:top w:val="nil"/>
              <w:left w:val="nil"/>
              <w:bottom w:val="single" w:sz="8" w:space="0" w:color="000000"/>
              <w:right w:val="single" w:sz="8" w:space="0" w:color="000000"/>
            </w:tcBorders>
            <w:tcMar>
              <w:top w:w="0" w:type="dxa"/>
              <w:left w:w="108" w:type="dxa"/>
              <w:bottom w:w="0" w:type="dxa"/>
              <w:right w:w="108" w:type="dxa"/>
            </w:tcMar>
            <w:hideMark/>
          </w:tcPr>
          <w:p w14:paraId="11ECD916" w14:textId="77777777" w:rsidR="004712A8" w:rsidRPr="009F5E72" w:rsidRDefault="004712A8" w:rsidP="00B015D5">
            <w:pPr>
              <w:spacing w:before="60" w:after="60"/>
              <w:rPr>
                <w:rFonts w:cs="Arial"/>
                <w:sz w:val="20"/>
                <w:szCs w:val="20"/>
              </w:rPr>
            </w:pPr>
            <w:r w:rsidRPr="009F5E72">
              <w:rPr>
                <w:rFonts w:cs="Arial"/>
                <w:sz w:val="20"/>
                <w:szCs w:val="20"/>
              </w:rPr>
              <w:t>Yes</w:t>
            </w:r>
          </w:p>
        </w:tc>
      </w:tr>
      <w:tr w:rsidR="004712A8" w:rsidRPr="007B5403" w14:paraId="7F2C45FE" w14:textId="77777777" w:rsidTr="00695265">
        <w:trPr>
          <w:cantSplit/>
        </w:trPr>
        <w:tc>
          <w:tcPr>
            <w:tcW w:w="54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735C2C8" w14:textId="77777777" w:rsidR="004712A8" w:rsidRPr="009F5E72" w:rsidRDefault="004712A8" w:rsidP="00B015D5">
            <w:pPr>
              <w:spacing w:before="60" w:after="60"/>
              <w:rPr>
                <w:rFonts w:cs="Arial"/>
                <w:i/>
                <w:iCs/>
                <w:sz w:val="20"/>
                <w:szCs w:val="20"/>
              </w:rPr>
            </w:pPr>
            <w:r w:rsidRPr="009F5E72">
              <w:rPr>
                <w:rFonts w:cs="Arial"/>
                <w:sz w:val="20"/>
                <w:szCs w:val="20"/>
              </w:rPr>
              <w:t>To ensure that consumers have access to sufficient information to enable informed and healthy food choices.</w:t>
            </w:r>
            <w:r w:rsidRPr="009F5E72">
              <w:rPr>
                <w:rFonts w:cs="Arial"/>
                <w:i/>
                <w:iCs/>
                <w:sz w:val="20"/>
                <w:szCs w:val="20"/>
              </w:rPr>
              <w:t xml:space="preserve"> </w:t>
            </w:r>
          </w:p>
        </w:tc>
        <w:tc>
          <w:tcPr>
            <w:tcW w:w="6210" w:type="dxa"/>
            <w:tcBorders>
              <w:top w:val="nil"/>
              <w:left w:val="nil"/>
              <w:bottom w:val="single" w:sz="8" w:space="0" w:color="000000"/>
              <w:right w:val="single" w:sz="8" w:space="0" w:color="000000"/>
            </w:tcBorders>
            <w:tcMar>
              <w:top w:w="0" w:type="dxa"/>
              <w:left w:w="108" w:type="dxa"/>
              <w:bottom w:w="0" w:type="dxa"/>
              <w:right w:w="108" w:type="dxa"/>
            </w:tcMar>
            <w:hideMark/>
          </w:tcPr>
          <w:p w14:paraId="547E4AD9" w14:textId="6546D92D" w:rsidR="004712A8" w:rsidRPr="009F5E72" w:rsidRDefault="00DE307B" w:rsidP="00B015D5">
            <w:pPr>
              <w:spacing w:before="60" w:after="60"/>
              <w:rPr>
                <w:rFonts w:cs="Arial"/>
                <w:i/>
                <w:iCs/>
                <w:sz w:val="20"/>
                <w:szCs w:val="20"/>
              </w:rPr>
            </w:pPr>
            <w:r w:rsidRPr="007B5403">
              <w:rPr>
                <w:rFonts w:cs="Arial"/>
                <w:sz w:val="20"/>
                <w:szCs w:val="20"/>
              </w:rPr>
              <w:t xml:space="preserve">Addressed </w:t>
            </w:r>
            <w:r w:rsidR="00124E51" w:rsidRPr="007B5403">
              <w:rPr>
                <w:rFonts w:cs="Arial"/>
                <w:sz w:val="20"/>
                <w:szCs w:val="20"/>
              </w:rPr>
              <w:t xml:space="preserve">in </w:t>
            </w:r>
            <w:r w:rsidRPr="007B5403">
              <w:rPr>
                <w:rFonts w:cs="Arial"/>
                <w:sz w:val="20"/>
                <w:szCs w:val="20"/>
              </w:rPr>
              <w:t xml:space="preserve">the section about FSANZ’s statutory objectives (section 2.4.2) of the </w:t>
            </w:r>
            <w:r w:rsidR="00105338" w:rsidRPr="007B5403">
              <w:rPr>
                <w:rFonts w:cs="Arial"/>
                <w:sz w:val="20"/>
                <w:szCs w:val="20"/>
              </w:rPr>
              <w:t xml:space="preserve">assessment </w:t>
            </w:r>
            <w:r w:rsidR="005B38B8" w:rsidRPr="007B5403">
              <w:rPr>
                <w:rFonts w:cs="Arial"/>
                <w:sz w:val="20"/>
                <w:szCs w:val="20"/>
              </w:rPr>
              <w:t>summary</w:t>
            </w:r>
            <w:r w:rsidRPr="007B5403">
              <w:rPr>
                <w:rFonts w:cs="Arial"/>
                <w:sz w:val="20"/>
                <w:szCs w:val="20"/>
              </w:rPr>
              <w:t xml:space="preserve"> and i</w:t>
            </w:r>
            <w:r w:rsidR="004712A8" w:rsidRPr="007B5403">
              <w:rPr>
                <w:rFonts w:cs="Arial"/>
                <w:sz w:val="20"/>
                <w:szCs w:val="20"/>
              </w:rPr>
              <w:t>n</w:t>
            </w:r>
            <w:r w:rsidRPr="007B5403">
              <w:rPr>
                <w:rFonts w:cs="Arial"/>
                <w:sz w:val="20"/>
                <w:szCs w:val="20"/>
              </w:rPr>
              <w:t xml:space="preserve"> the section regarding labelling (2.2.4) </w:t>
            </w:r>
            <w:r w:rsidR="00105338" w:rsidRPr="007B5403">
              <w:rPr>
                <w:rFonts w:cs="Arial"/>
                <w:sz w:val="20"/>
                <w:szCs w:val="20"/>
              </w:rPr>
              <w:t>in the assessment summary</w:t>
            </w:r>
            <w:r w:rsidR="004712A8" w:rsidRPr="007B5403">
              <w:rPr>
                <w:rFonts w:cs="Arial"/>
                <w:sz w:val="20"/>
                <w:szCs w:val="20"/>
              </w:rPr>
              <w:t xml:space="preserve">. </w:t>
            </w:r>
          </w:p>
        </w:tc>
        <w:tc>
          <w:tcPr>
            <w:tcW w:w="2610" w:type="dxa"/>
            <w:tcBorders>
              <w:top w:val="nil"/>
              <w:left w:val="nil"/>
              <w:bottom w:val="single" w:sz="8" w:space="0" w:color="000000"/>
              <w:right w:val="single" w:sz="8" w:space="0" w:color="000000"/>
            </w:tcBorders>
            <w:tcMar>
              <w:top w:w="0" w:type="dxa"/>
              <w:left w:w="108" w:type="dxa"/>
              <w:bottom w:w="0" w:type="dxa"/>
              <w:right w:w="108" w:type="dxa"/>
            </w:tcMar>
            <w:hideMark/>
          </w:tcPr>
          <w:p w14:paraId="0C0A38A8" w14:textId="77777777" w:rsidR="004712A8" w:rsidRPr="009F5E72" w:rsidRDefault="004712A8" w:rsidP="00B015D5">
            <w:pPr>
              <w:spacing w:before="60" w:after="60"/>
              <w:rPr>
                <w:rFonts w:cs="Arial"/>
                <w:sz w:val="20"/>
                <w:szCs w:val="20"/>
              </w:rPr>
            </w:pPr>
            <w:r w:rsidRPr="009F5E72">
              <w:rPr>
                <w:rFonts w:cs="Arial"/>
                <w:sz w:val="20"/>
                <w:szCs w:val="20"/>
              </w:rPr>
              <w:t>Yes</w:t>
            </w:r>
          </w:p>
        </w:tc>
      </w:tr>
      <w:tr w:rsidR="004712A8" w:rsidRPr="007B5403" w14:paraId="68822D3F" w14:textId="77777777" w:rsidTr="00695265">
        <w:trPr>
          <w:cantSplit/>
        </w:trPr>
        <w:tc>
          <w:tcPr>
            <w:tcW w:w="54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0860D9E" w14:textId="77777777" w:rsidR="004712A8" w:rsidRPr="009F5E72" w:rsidRDefault="004712A8" w:rsidP="00B015D5">
            <w:pPr>
              <w:spacing w:before="60" w:after="60"/>
              <w:rPr>
                <w:rFonts w:cs="Arial"/>
                <w:sz w:val="20"/>
                <w:szCs w:val="20"/>
              </w:rPr>
            </w:pPr>
            <w:r w:rsidRPr="009F5E72">
              <w:rPr>
                <w:rFonts w:cs="Arial"/>
                <w:sz w:val="20"/>
                <w:szCs w:val="20"/>
              </w:rPr>
              <w:t>Be consistent with and complement Australian and New Zealand national policies and legislation including those relating to nutrition and health promotion.</w:t>
            </w:r>
          </w:p>
        </w:tc>
        <w:tc>
          <w:tcPr>
            <w:tcW w:w="6210" w:type="dxa"/>
            <w:tcBorders>
              <w:top w:val="nil"/>
              <w:left w:val="nil"/>
              <w:bottom w:val="single" w:sz="8" w:space="0" w:color="000000"/>
              <w:right w:val="single" w:sz="8" w:space="0" w:color="000000"/>
            </w:tcBorders>
            <w:tcMar>
              <w:top w:w="0" w:type="dxa"/>
              <w:left w:w="108" w:type="dxa"/>
              <w:bottom w:w="0" w:type="dxa"/>
              <w:right w:w="108" w:type="dxa"/>
            </w:tcMar>
            <w:hideMark/>
          </w:tcPr>
          <w:p w14:paraId="11C55944" w14:textId="563D9160" w:rsidR="00DE307B" w:rsidRPr="009F5E72" w:rsidRDefault="00DE307B" w:rsidP="00B015D5">
            <w:pPr>
              <w:spacing w:before="60" w:after="60"/>
              <w:rPr>
                <w:rFonts w:cs="Arial"/>
                <w:sz w:val="20"/>
                <w:szCs w:val="20"/>
              </w:rPr>
            </w:pPr>
            <w:r w:rsidRPr="009F5E72">
              <w:rPr>
                <w:rFonts w:cs="Arial"/>
                <w:iCs/>
                <w:sz w:val="20"/>
                <w:szCs w:val="20"/>
              </w:rPr>
              <w:t>Plant sterols being added to breakfast cereals is consistent with national nutrition policies in Australia and New Zealand that recommend regular consumption of breakfast cereals, especially those limiting sugar content and higher in fibre. Increased availability of plant sterols through the food supply will assist in</w:t>
            </w:r>
            <w:r w:rsidR="00124E51" w:rsidRPr="009F5E72">
              <w:rPr>
                <w:rFonts w:cs="Arial"/>
                <w:iCs/>
                <w:sz w:val="20"/>
                <w:szCs w:val="20"/>
              </w:rPr>
              <w:t>terested</w:t>
            </w:r>
            <w:r w:rsidRPr="009F5E72">
              <w:rPr>
                <w:rFonts w:cs="Arial"/>
                <w:iCs/>
                <w:sz w:val="20"/>
                <w:szCs w:val="20"/>
              </w:rPr>
              <w:t xml:space="preserve"> consumers with greater choices for increasing dietary </w:t>
            </w:r>
            <w:r w:rsidR="00B203FF" w:rsidRPr="009F5E72">
              <w:rPr>
                <w:rFonts w:cs="Arial"/>
                <w:iCs/>
                <w:sz w:val="20"/>
                <w:szCs w:val="20"/>
              </w:rPr>
              <w:t>exposures to</w:t>
            </w:r>
            <w:r w:rsidRPr="009F5E72">
              <w:rPr>
                <w:rFonts w:cs="Arial"/>
                <w:iCs/>
                <w:sz w:val="20"/>
                <w:szCs w:val="20"/>
              </w:rPr>
              <w:t xml:space="preserve"> plant sterols. </w:t>
            </w:r>
          </w:p>
        </w:tc>
        <w:tc>
          <w:tcPr>
            <w:tcW w:w="2610" w:type="dxa"/>
            <w:tcBorders>
              <w:top w:val="nil"/>
              <w:left w:val="nil"/>
              <w:bottom w:val="single" w:sz="8" w:space="0" w:color="000000"/>
              <w:right w:val="single" w:sz="8" w:space="0" w:color="000000"/>
            </w:tcBorders>
            <w:tcMar>
              <w:top w:w="0" w:type="dxa"/>
              <w:left w:w="108" w:type="dxa"/>
              <w:bottom w:w="0" w:type="dxa"/>
              <w:right w:w="108" w:type="dxa"/>
            </w:tcMar>
            <w:hideMark/>
          </w:tcPr>
          <w:p w14:paraId="5AFE4AA3" w14:textId="77777777" w:rsidR="004712A8" w:rsidRPr="009F5E72" w:rsidRDefault="004712A8" w:rsidP="00B015D5">
            <w:pPr>
              <w:spacing w:before="60" w:after="60"/>
              <w:rPr>
                <w:rFonts w:cs="Arial"/>
                <w:sz w:val="20"/>
                <w:szCs w:val="20"/>
              </w:rPr>
            </w:pPr>
            <w:r w:rsidRPr="009F5E72">
              <w:rPr>
                <w:rFonts w:cs="Arial"/>
                <w:sz w:val="20"/>
                <w:szCs w:val="20"/>
              </w:rPr>
              <w:t>Yes</w:t>
            </w:r>
          </w:p>
        </w:tc>
      </w:tr>
      <w:tr w:rsidR="004712A8" w:rsidRPr="007B5403" w14:paraId="3D0B91CB" w14:textId="77777777" w:rsidTr="00695265">
        <w:trPr>
          <w:cantSplit/>
        </w:trPr>
        <w:tc>
          <w:tcPr>
            <w:tcW w:w="54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50EC883" w14:textId="77777777" w:rsidR="004712A8" w:rsidRPr="009F5E72" w:rsidRDefault="004712A8" w:rsidP="00B015D5">
            <w:pPr>
              <w:spacing w:before="60" w:after="60"/>
              <w:rPr>
                <w:rFonts w:cs="Arial"/>
                <w:sz w:val="20"/>
                <w:szCs w:val="20"/>
              </w:rPr>
            </w:pPr>
            <w:r w:rsidRPr="009F5E72">
              <w:rPr>
                <w:rFonts w:cs="Arial"/>
                <w:sz w:val="20"/>
                <w:szCs w:val="20"/>
              </w:rPr>
              <w:t>To draw on the best elements of international regulatory systems (i.e. protocols, standards, guidelines, assessment processes) and be responsive to future trends and developments (i.e. CODEX, WHO/FAO).</w:t>
            </w:r>
          </w:p>
        </w:tc>
        <w:tc>
          <w:tcPr>
            <w:tcW w:w="6210" w:type="dxa"/>
            <w:tcBorders>
              <w:top w:val="nil"/>
              <w:left w:val="nil"/>
              <w:bottom w:val="single" w:sz="8" w:space="0" w:color="000000"/>
              <w:right w:val="single" w:sz="8" w:space="0" w:color="000000"/>
            </w:tcBorders>
            <w:tcMar>
              <w:top w:w="0" w:type="dxa"/>
              <w:left w:w="108" w:type="dxa"/>
              <w:bottom w:w="0" w:type="dxa"/>
              <w:right w:w="108" w:type="dxa"/>
            </w:tcMar>
            <w:hideMark/>
          </w:tcPr>
          <w:p w14:paraId="38C2B7EF" w14:textId="29FB31D1" w:rsidR="00DE307B" w:rsidRPr="009F5E72" w:rsidRDefault="00DE307B" w:rsidP="00B015D5">
            <w:pPr>
              <w:spacing w:before="60" w:after="60"/>
              <w:rPr>
                <w:rFonts w:cs="Arial"/>
                <w:iCs/>
                <w:sz w:val="20"/>
                <w:szCs w:val="20"/>
              </w:rPr>
            </w:pPr>
            <w:r w:rsidRPr="009F5E72">
              <w:rPr>
                <w:rFonts w:cs="Arial"/>
                <w:iCs/>
                <w:sz w:val="20"/>
                <w:szCs w:val="20"/>
              </w:rPr>
              <w:t xml:space="preserve">The Australian </w:t>
            </w:r>
            <w:r w:rsidR="00105338" w:rsidRPr="009F5E72">
              <w:rPr>
                <w:rFonts w:cs="Arial"/>
                <w:iCs/>
                <w:sz w:val="20"/>
                <w:szCs w:val="20"/>
              </w:rPr>
              <w:t xml:space="preserve">and </w:t>
            </w:r>
            <w:r w:rsidRPr="009F5E72">
              <w:rPr>
                <w:rFonts w:cs="Arial"/>
                <w:iCs/>
                <w:sz w:val="20"/>
                <w:szCs w:val="20"/>
              </w:rPr>
              <w:t xml:space="preserve">New Zealand approach to regulation of novel foods, which is currently under review, draws on international experience and implementation of best practice. </w:t>
            </w:r>
          </w:p>
          <w:p w14:paraId="032F48BF" w14:textId="165AE9A9" w:rsidR="00585852" w:rsidRPr="009F5E72" w:rsidRDefault="00585852" w:rsidP="00B015D5">
            <w:pPr>
              <w:spacing w:before="60" w:after="60"/>
              <w:rPr>
                <w:rFonts w:cs="Arial"/>
                <w:i/>
                <w:iCs/>
                <w:sz w:val="20"/>
                <w:szCs w:val="20"/>
              </w:rPr>
            </w:pPr>
          </w:p>
        </w:tc>
        <w:tc>
          <w:tcPr>
            <w:tcW w:w="2610" w:type="dxa"/>
            <w:tcBorders>
              <w:top w:val="nil"/>
              <w:left w:val="nil"/>
              <w:bottom w:val="single" w:sz="8" w:space="0" w:color="000000"/>
              <w:right w:val="single" w:sz="8" w:space="0" w:color="000000"/>
            </w:tcBorders>
            <w:tcMar>
              <w:top w:w="0" w:type="dxa"/>
              <w:left w:w="108" w:type="dxa"/>
              <w:bottom w:w="0" w:type="dxa"/>
              <w:right w:w="108" w:type="dxa"/>
            </w:tcMar>
            <w:hideMark/>
          </w:tcPr>
          <w:p w14:paraId="4806843A" w14:textId="77777777" w:rsidR="00585852" w:rsidRPr="009F5E72" w:rsidRDefault="004712A8" w:rsidP="00B015D5">
            <w:pPr>
              <w:spacing w:before="60" w:after="60"/>
              <w:rPr>
                <w:rFonts w:cs="Arial"/>
                <w:sz w:val="20"/>
                <w:szCs w:val="20"/>
              </w:rPr>
            </w:pPr>
            <w:r w:rsidRPr="009F5E72">
              <w:rPr>
                <w:rFonts w:cs="Arial"/>
                <w:sz w:val="20"/>
                <w:szCs w:val="20"/>
              </w:rPr>
              <w:t>Yes</w:t>
            </w:r>
          </w:p>
        </w:tc>
      </w:tr>
      <w:tr w:rsidR="004712A8" w:rsidRPr="007B5403" w14:paraId="751DB16A" w14:textId="77777777" w:rsidTr="00695265">
        <w:trPr>
          <w:cantSplit/>
        </w:trPr>
        <w:tc>
          <w:tcPr>
            <w:tcW w:w="54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FE4F8BA" w14:textId="77777777" w:rsidR="004712A8" w:rsidRPr="009F5E72" w:rsidRDefault="004712A8" w:rsidP="00B015D5">
            <w:pPr>
              <w:spacing w:before="60" w:after="60"/>
              <w:rPr>
                <w:rFonts w:cs="Arial"/>
                <w:sz w:val="20"/>
                <w:szCs w:val="20"/>
              </w:rPr>
            </w:pPr>
            <w:r w:rsidRPr="009F5E72">
              <w:rPr>
                <w:rFonts w:cs="Arial"/>
                <w:sz w:val="20"/>
                <w:szCs w:val="20"/>
              </w:rPr>
              <w:t>To provide a regulatory environment that is timely, cost effective, transparent and consistent with minimum effective regulation, and which encourages fair trade, industry growth, innovation and international trade.</w:t>
            </w:r>
          </w:p>
        </w:tc>
        <w:tc>
          <w:tcPr>
            <w:tcW w:w="6210" w:type="dxa"/>
            <w:tcBorders>
              <w:top w:val="nil"/>
              <w:left w:val="nil"/>
              <w:bottom w:val="single" w:sz="8" w:space="0" w:color="000000"/>
              <w:right w:val="single" w:sz="8" w:space="0" w:color="000000"/>
            </w:tcBorders>
            <w:tcMar>
              <w:top w:w="0" w:type="dxa"/>
              <w:left w:w="108" w:type="dxa"/>
              <w:bottom w:w="0" w:type="dxa"/>
              <w:right w:w="108" w:type="dxa"/>
            </w:tcMar>
          </w:tcPr>
          <w:p w14:paraId="0627ADAF" w14:textId="346941A7" w:rsidR="004712A8" w:rsidRPr="007B5403" w:rsidRDefault="00DE307B" w:rsidP="00B015D5">
            <w:pPr>
              <w:spacing w:before="60" w:after="60"/>
              <w:rPr>
                <w:rFonts w:cs="Arial"/>
                <w:sz w:val="20"/>
                <w:szCs w:val="20"/>
              </w:rPr>
            </w:pPr>
            <w:bookmarkStart w:id="4" w:name="_Toc466366928"/>
            <w:bookmarkStart w:id="5" w:name="_Toc300761901"/>
            <w:bookmarkEnd w:id="4"/>
            <w:bookmarkEnd w:id="5"/>
            <w:r w:rsidRPr="009F5E72">
              <w:rPr>
                <w:rFonts w:cs="Arial"/>
                <w:iCs/>
                <w:sz w:val="20"/>
                <w:szCs w:val="20"/>
              </w:rPr>
              <w:t xml:space="preserve">A1134 is </w:t>
            </w:r>
            <w:r w:rsidR="00124E51" w:rsidRPr="009F5E72">
              <w:rPr>
                <w:rFonts w:cs="Arial"/>
                <w:iCs/>
                <w:sz w:val="20"/>
                <w:szCs w:val="20"/>
              </w:rPr>
              <w:t>a</w:t>
            </w:r>
            <w:r w:rsidRPr="009F5E72">
              <w:rPr>
                <w:rFonts w:cs="Arial"/>
                <w:iCs/>
                <w:sz w:val="20"/>
                <w:szCs w:val="20"/>
              </w:rPr>
              <w:t xml:space="preserve"> voluntary permission such that manufacturers can choose whether or not to </w:t>
            </w:r>
            <w:r w:rsidR="00124E51" w:rsidRPr="009F5E72">
              <w:rPr>
                <w:rFonts w:cs="Arial"/>
                <w:iCs/>
                <w:sz w:val="20"/>
                <w:szCs w:val="20"/>
              </w:rPr>
              <w:t>add</w:t>
            </w:r>
            <w:r w:rsidRPr="009F5E72">
              <w:rPr>
                <w:rFonts w:cs="Arial"/>
                <w:iCs/>
                <w:sz w:val="20"/>
                <w:szCs w:val="20"/>
              </w:rPr>
              <w:t xml:space="preserve"> increased levels of plant sterols to breakfast cereals. </w:t>
            </w:r>
            <w:r w:rsidR="005B38B8" w:rsidRPr="009F5E72">
              <w:rPr>
                <w:rFonts w:cs="Arial"/>
                <w:iCs/>
                <w:sz w:val="20"/>
                <w:szCs w:val="20"/>
              </w:rPr>
              <w:t xml:space="preserve">FSANZ has broadened the scope of the Application to both portion-controlled and non-portion controlled breakfast cereals that meet the existing nutrient criteria. </w:t>
            </w:r>
            <w:r w:rsidRPr="009F5E72">
              <w:rPr>
                <w:rFonts w:cs="Arial"/>
                <w:iCs/>
                <w:sz w:val="20"/>
                <w:szCs w:val="20"/>
              </w:rPr>
              <w:t xml:space="preserve">This allows for industry growth and innovation, and supports fair trade and international trade.  </w:t>
            </w:r>
          </w:p>
        </w:tc>
        <w:tc>
          <w:tcPr>
            <w:tcW w:w="2610" w:type="dxa"/>
            <w:tcBorders>
              <w:top w:val="nil"/>
              <w:left w:val="nil"/>
              <w:bottom w:val="single" w:sz="8" w:space="0" w:color="000000"/>
              <w:right w:val="single" w:sz="8" w:space="0" w:color="000000"/>
            </w:tcBorders>
            <w:tcMar>
              <w:top w:w="0" w:type="dxa"/>
              <w:left w:w="108" w:type="dxa"/>
              <w:bottom w:w="0" w:type="dxa"/>
              <w:right w:w="108" w:type="dxa"/>
            </w:tcMar>
            <w:hideMark/>
          </w:tcPr>
          <w:p w14:paraId="3B3ED928" w14:textId="77777777" w:rsidR="00585852" w:rsidRPr="009F5E72" w:rsidRDefault="004712A8" w:rsidP="00B015D5">
            <w:pPr>
              <w:spacing w:before="60" w:after="60"/>
              <w:rPr>
                <w:rFonts w:cs="Arial"/>
                <w:sz w:val="20"/>
                <w:szCs w:val="20"/>
              </w:rPr>
            </w:pPr>
            <w:r w:rsidRPr="009F5E72">
              <w:rPr>
                <w:rFonts w:cs="Arial"/>
                <w:sz w:val="20"/>
                <w:szCs w:val="20"/>
              </w:rPr>
              <w:t>Yes</w:t>
            </w:r>
          </w:p>
        </w:tc>
      </w:tr>
    </w:tbl>
    <w:p w14:paraId="17BD4C65" w14:textId="77777777" w:rsidR="004712A8" w:rsidRPr="009F5E72" w:rsidRDefault="004712A8" w:rsidP="00E9707B">
      <w:pPr>
        <w:spacing w:after="120"/>
        <w:rPr>
          <w:rFonts w:cs="Arial"/>
        </w:rPr>
      </w:pPr>
    </w:p>
    <w:p w14:paraId="316B2DDE" w14:textId="77777777" w:rsidR="004712A8" w:rsidRPr="009F5E72" w:rsidRDefault="004712A8">
      <w:pPr>
        <w:widowControl/>
        <w:rPr>
          <w:rFonts w:cs="Arial"/>
        </w:rPr>
      </w:pPr>
      <w:r w:rsidRPr="009F5E72">
        <w:rPr>
          <w:rFonts w:cs="Arial"/>
        </w:rPr>
        <w:br w:type="page"/>
      </w:r>
    </w:p>
    <w:p w14:paraId="6E125272" w14:textId="54288460" w:rsidR="004712A8" w:rsidRPr="009F5E72" w:rsidRDefault="004712A8" w:rsidP="00E9707B">
      <w:pPr>
        <w:spacing w:after="120"/>
        <w:rPr>
          <w:rFonts w:cs="Arial"/>
        </w:rPr>
      </w:pPr>
    </w:p>
    <w:tbl>
      <w:tblPr>
        <w:tblStyle w:val="TableGrid"/>
        <w:tblW w:w="5000" w:type="pct"/>
        <w:tblLook w:val="04A0" w:firstRow="1" w:lastRow="0" w:firstColumn="1" w:lastColumn="0" w:noHBand="0" w:noVBand="1"/>
        <w:tblDescription w:val="This table summarises FSANZ's assessment against the Minsterial Policy Guideline on Novel Foods "/>
      </w:tblPr>
      <w:tblGrid>
        <w:gridCol w:w="5418"/>
        <w:gridCol w:w="6209"/>
        <w:gridCol w:w="2591"/>
      </w:tblGrid>
      <w:tr w:rsidR="00E9707B" w:rsidRPr="00695265" w14:paraId="5AA138FC" w14:textId="77777777" w:rsidTr="00695265">
        <w:trPr>
          <w:cantSplit/>
          <w:tblHeader/>
        </w:trPr>
        <w:tc>
          <w:tcPr>
            <w:tcW w:w="1905" w:type="pct"/>
            <w:shd w:val="clear" w:color="auto" w:fill="E5DFEC" w:themeFill="accent4" w:themeFillTint="33"/>
            <w:vAlign w:val="center"/>
          </w:tcPr>
          <w:p w14:paraId="5A3BBF8A" w14:textId="13ED83AA" w:rsidR="00E9707B" w:rsidRPr="00695265" w:rsidRDefault="00E9707B" w:rsidP="007F3E99">
            <w:pPr>
              <w:rPr>
                <w:rFonts w:ascii="Arial" w:hAnsi="Arial" w:cs="Arial"/>
                <w:b/>
                <w:i/>
              </w:rPr>
            </w:pPr>
            <w:r w:rsidRPr="00695265">
              <w:rPr>
                <w:rFonts w:ascii="Arial" w:hAnsi="Arial" w:cs="Arial"/>
                <w:b/>
                <w:szCs w:val="20"/>
              </w:rPr>
              <w:t xml:space="preserve">Specific </w:t>
            </w:r>
            <w:r w:rsidR="001D6232">
              <w:rPr>
                <w:rFonts w:ascii="Arial" w:hAnsi="Arial" w:cs="Arial"/>
                <w:b/>
                <w:szCs w:val="20"/>
              </w:rPr>
              <w:t xml:space="preserve">Order </w:t>
            </w:r>
            <w:r w:rsidRPr="00695265">
              <w:rPr>
                <w:rFonts w:ascii="Arial" w:hAnsi="Arial" w:cs="Arial"/>
                <w:b/>
                <w:szCs w:val="20"/>
              </w:rPr>
              <w:t xml:space="preserve">Policy Principles </w:t>
            </w:r>
          </w:p>
        </w:tc>
        <w:tc>
          <w:tcPr>
            <w:tcW w:w="2183" w:type="pct"/>
            <w:shd w:val="clear" w:color="auto" w:fill="E5DFEC" w:themeFill="accent4" w:themeFillTint="33"/>
            <w:vAlign w:val="center"/>
          </w:tcPr>
          <w:p w14:paraId="412FE880" w14:textId="77777777" w:rsidR="00E9707B" w:rsidRPr="00695265" w:rsidRDefault="00E9707B" w:rsidP="007F3E99">
            <w:pPr>
              <w:rPr>
                <w:rFonts w:ascii="Arial" w:hAnsi="Arial" w:cs="Arial"/>
                <w:b/>
                <w:i/>
              </w:rPr>
            </w:pPr>
            <w:r w:rsidRPr="00695265">
              <w:rPr>
                <w:rFonts w:ascii="Arial" w:hAnsi="Arial" w:cs="Arial"/>
                <w:b/>
                <w:szCs w:val="20"/>
              </w:rPr>
              <w:t>Approach</w:t>
            </w:r>
          </w:p>
        </w:tc>
        <w:tc>
          <w:tcPr>
            <w:tcW w:w="911" w:type="pct"/>
            <w:shd w:val="clear" w:color="auto" w:fill="E5DFEC" w:themeFill="accent4" w:themeFillTint="33"/>
            <w:vAlign w:val="center"/>
          </w:tcPr>
          <w:p w14:paraId="65F74865" w14:textId="1BB9EE54" w:rsidR="00E9707B" w:rsidRPr="00695265" w:rsidRDefault="00E9707B" w:rsidP="002A7930">
            <w:pPr>
              <w:rPr>
                <w:rFonts w:ascii="Arial" w:hAnsi="Arial" w:cs="Arial"/>
                <w:b/>
                <w:i/>
              </w:rPr>
            </w:pPr>
            <w:r w:rsidRPr="00695265">
              <w:rPr>
                <w:rFonts w:ascii="Arial" w:hAnsi="Arial" w:cs="Arial"/>
                <w:b/>
                <w:szCs w:val="20"/>
              </w:rPr>
              <w:t xml:space="preserve">Does the assessment </w:t>
            </w:r>
            <w:r w:rsidR="002A7930" w:rsidRPr="00695265">
              <w:rPr>
                <w:rFonts w:ascii="Arial" w:hAnsi="Arial" w:cs="Arial"/>
                <w:b/>
                <w:szCs w:val="20"/>
              </w:rPr>
              <w:t>satisfy</w:t>
            </w:r>
            <w:r w:rsidRPr="00695265">
              <w:rPr>
                <w:rFonts w:ascii="Arial" w:hAnsi="Arial" w:cs="Arial"/>
                <w:b/>
                <w:szCs w:val="20"/>
              </w:rPr>
              <w:t xml:space="preserve"> the Policy Principles</w:t>
            </w:r>
          </w:p>
        </w:tc>
      </w:tr>
      <w:tr w:rsidR="00E9707B" w:rsidRPr="00695265" w14:paraId="4BDB3DF0" w14:textId="77777777" w:rsidTr="00695265">
        <w:trPr>
          <w:cantSplit/>
        </w:trPr>
        <w:tc>
          <w:tcPr>
            <w:tcW w:w="1905" w:type="pct"/>
          </w:tcPr>
          <w:p w14:paraId="37547D1E" w14:textId="77777777" w:rsidR="00E9707B" w:rsidRPr="00695265" w:rsidRDefault="00E9707B" w:rsidP="00B015D5">
            <w:pPr>
              <w:spacing w:before="60" w:after="60"/>
              <w:rPr>
                <w:rFonts w:ascii="Arial" w:hAnsi="Arial" w:cs="Arial"/>
              </w:rPr>
            </w:pPr>
            <w:r w:rsidRPr="00695265">
              <w:rPr>
                <w:rFonts w:ascii="Arial" w:hAnsi="Arial" w:cs="Arial"/>
              </w:rPr>
              <w:t>To ensure that public and industry confidence in the food system is maintained.</w:t>
            </w:r>
          </w:p>
          <w:p w14:paraId="3F50A68A" w14:textId="77777777" w:rsidR="00E9707B" w:rsidRPr="00695265" w:rsidRDefault="00E9707B" w:rsidP="00B015D5">
            <w:pPr>
              <w:spacing w:before="60" w:after="60"/>
              <w:rPr>
                <w:rFonts w:ascii="Arial" w:eastAsiaTheme="minorHAnsi" w:hAnsi="Arial" w:cs="Arial"/>
              </w:rPr>
            </w:pPr>
          </w:p>
        </w:tc>
        <w:tc>
          <w:tcPr>
            <w:tcW w:w="2183" w:type="pct"/>
          </w:tcPr>
          <w:p w14:paraId="7EA29429" w14:textId="5D2AB285" w:rsidR="0038051C" w:rsidRPr="00695265" w:rsidRDefault="0038051C" w:rsidP="00B015D5">
            <w:pPr>
              <w:spacing w:before="60" w:after="60"/>
              <w:rPr>
                <w:rFonts w:ascii="Arial" w:eastAsia="Calibri" w:hAnsi="Arial" w:cs="Arial"/>
                <w:iCs/>
                <w:szCs w:val="22"/>
                <w:lang w:bidi="ar-SA"/>
              </w:rPr>
            </w:pPr>
            <w:r w:rsidRPr="00695265">
              <w:rPr>
                <w:rFonts w:ascii="Arial" w:eastAsia="Calibri" w:hAnsi="Arial" w:cs="Arial"/>
                <w:iCs/>
                <w:szCs w:val="22"/>
                <w:lang w:bidi="ar-SA"/>
              </w:rPr>
              <w:t xml:space="preserve">Novel foods or ingredients are required to have a pre-market safety assessment. The hazard assessment, dietary exposure assessment and labelling requirements will provide confidence for the food industry and consumers. Consultation (calling for submissions) allows </w:t>
            </w:r>
            <w:r w:rsidR="00124E51" w:rsidRPr="00695265">
              <w:rPr>
                <w:rFonts w:ascii="Arial" w:eastAsia="Calibri" w:hAnsi="Arial" w:cs="Arial"/>
                <w:iCs/>
                <w:szCs w:val="22"/>
                <w:lang w:bidi="ar-SA"/>
              </w:rPr>
              <w:t>direct engagement</w:t>
            </w:r>
            <w:r w:rsidRPr="00695265">
              <w:rPr>
                <w:rFonts w:ascii="Arial" w:eastAsia="Calibri" w:hAnsi="Arial" w:cs="Arial"/>
                <w:iCs/>
                <w:szCs w:val="22"/>
                <w:lang w:bidi="ar-SA"/>
              </w:rPr>
              <w:t xml:space="preserve"> from stakeholders including the public and industry</w:t>
            </w:r>
            <w:r w:rsidR="00124E51" w:rsidRPr="00695265">
              <w:rPr>
                <w:rFonts w:ascii="Arial" w:eastAsia="Calibri" w:hAnsi="Arial" w:cs="Arial"/>
                <w:iCs/>
                <w:szCs w:val="22"/>
                <w:lang w:bidi="ar-SA"/>
              </w:rPr>
              <w:t xml:space="preserve"> to assist in confidence with the outcomes</w:t>
            </w:r>
            <w:r w:rsidRPr="00695265">
              <w:rPr>
                <w:rFonts w:ascii="Arial" w:eastAsia="Calibri" w:hAnsi="Arial" w:cs="Arial"/>
                <w:iCs/>
                <w:szCs w:val="22"/>
                <w:lang w:bidi="ar-SA"/>
              </w:rPr>
              <w:t>.</w:t>
            </w:r>
          </w:p>
          <w:p w14:paraId="07ADF2B1" w14:textId="1AD2E340" w:rsidR="00E9707B" w:rsidRPr="00695265" w:rsidRDefault="00E9707B" w:rsidP="00B015D5">
            <w:pPr>
              <w:spacing w:before="60" w:after="60"/>
              <w:rPr>
                <w:rFonts w:ascii="Arial" w:hAnsi="Arial" w:cs="Arial"/>
                <w:i/>
                <w:strike/>
              </w:rPr>
            </w:pPr>
          </w:p>
        </w:tc>
        <w:tc>
          <w:tcPr>
            <w:tcW w:w="911" w:type="pct"/>
          </w:tcPr>
          <w:p w14:paraId="3744220E" w14:textId="77777777" w:rsidR="00E9707B" w:rsidRPr="00695265" w:rsidRDefault="00E9707B" w:rsidP="00B015D5">
            <w:pPr>
              <w:spacing w:before="60" w:after="60"/>
              <w:rPr>
                <w:rFonts w:ascii="Arial" w:hAnsi="Arial" w:cs="Arial"/>
              </w:rPr>
            </w:pPr>
            <w:r w:rsidRPr="00695265">
              <w:rPr>
                <w:rFonts w:ascii="Arial" w:hAnsi="Arial" w:cs="Arial"/>
              </w:rPr>
              <w:t>Yes</w:t>
            </w:r>
          </w:p>
        </w:tc>
      </w:tr>
      <w:tr w:rsidR="00E9707B" w:rsidRPr="00695265" w14:paraId="68C93563" w14:textId="77777777" w:rsidTr="00695265">
        <w:trPr>
          <w:cantSplit/>
        </w:trPr>
        <w:tc>
          <w:tcPr>
            <w:tcW w:w="1905" w:type="pct"/>
          </w:tcPr>
          <w:p w14:paraId="34E40BA3" w14:textId="77777777" w:rsidR="00E9707B" w:rsidRPr="00695265" w:rsidRDefault="00E9707B" w:rsidP="00B015D5">
            <w:pPr>
              <w:spacing w:before="60" w:after="60"/>
              <w:rPr>
                <w:rFonts w:ascii="Arial" w:hAnsi="Arial" w:cs="Arial"/>
              </w:rPr>
            </w:pPr>
            <w:r w:rsidRPr="00695265">
              <w:rPr>
                <w:rFonts w:ascii="Arial" w:hAnsi="Arial" w:cs="Arial"/>
              </w:rPr>
              <w:t>To provide an assessment process that aims to protect commercially sensitive information and recognise industry’s intellectual property to the maximum extent possible.</w:t>
            </w:r>
          </w:p>
        </w:tc>
        <w:tc>
          <w:tcPr>
            <w:tcW w:w="2183" w:type="pct"/>
          </w:tcPr>
          <w:p w14:paraId="2B9F31D3" w14:textId="77667528" w:rsidR="00E9707B" w:rsidRPr="00695265" w:rsidRDefault="007B2AA0" w:rsidP="00B015D5">
            <w:pPr>
              <w:spacing w:before="60" w:after="60"/>
              <w:rPr>
                <w:rFonts w:ascii="Arial" w:hAnsi="Arial" w:cs="Arial"/>
                <w:i/>
                <w:strike/>
              </w:rPr>
            </w:pPr>
            <w:r w:rsidRPr="00695265">
              <w:rPr>
                <w:rFonts w:ascii="Arial" w:hAnsi="Arial" w:cs="Arial"/>
                <w:lang w:bidi="ar-SA"/>
              </w:rPr>
              <w:t>FSANZ has a specific assessment process in place to ensure access to confidential material provided by the Applicant is limited and protected to the maximum extent possible</w:t>
            </w:r>
            <w:r w:rsidRPr="00695265">
              <w:rPr>
                <w:rFonts w:ascii="Arial" w:hAnsi="Arial" w:cs="Arial"/>
                <w:b/>
                <w:lang w:bidi="ar-SA"/>
              </w:rPr>
              <w:t xml:space="preserve">. </w:t>
            </w:r>
          </w:p>
        </w:tc>
        <w:tc>
          <w:tcPr>
            <w:tcW w:w="911" w:type="pct"/>
          </w:tcPr>
          <w:p w14:paraId="15473BAE" w14:textId="1727CA8F" w:rsidR="00E9707B" w:rsidRPr="00695265" w:rsidRDefault="007B2AA0" w:rsidP="00B015D5">
            <w:pPr>
              <w:spacing w:before="60" w:after="60"/>
              <w:rPr>
                <w:rFonts w:ascii="Arial" w:hAnsi="Arial" w:cs="Arial"/>
              </w:rPr>
            </w:pPr>
            <w:r w:rsidRPr="00695265">
              <w:rPr>
                <w:rFonts w:ascii="Arial" w:hAnsi="Arial" w:cs="Arial"/>
              </w:rPr>
              <w:t>Yes</w:t>
            </w:r>
          </w:p>
        </w:tc>
      </w:tr>
      <w:tr w:rsidR="00E9707B" w:rsidRPr="00695265" w14:paraId="14AF95EA" w14:textId="77777777" w:rsidTr="00695265">
        <w:trPr>
          <w:cantSplit/>
        </w:trPr>
        <w:tc>
          <w:tcPr>
            <w:tcW w:w="1905" w:type="pct"/>
          </w:tcPr>
          <w:p w14:paraId="0A11F321" w14:textId="77777777" w:rsidR="00E9707B" w:rsidRPr="00695265" w:rsidRDefault="00E9707B" w:rsidP="00B015D5">
            <w:pPr>
              <w:spacing w:before="60" w:after="60"/>
              <w:rPr>
                <w:rFonts w:ascii="Arial" w:hAnsi="Arial" w:cs="Arial"/>
              </w:rPr>
            </w:pPr>
            <w:r w:rsidRPr="00695265">
              <w:rPr>
                <w:rFonts w:ascii="Arial" w:hAnsi="Arial" w:cs="Arial"/>
              </w:rPr>
              <w:t xml:space="preserve">To ensure consumers are not misled by novel foods or food ingredients, which appear similar to existing foods but may differ in terms of nutrition or function. </w:t>
            </w:r>
          </w:p>
        </w:tc>
        <w:tc>
          <w:tcPr>
            <w:tcW w:w="2183" w:type="pct"/>
          </w:tcPr>
          <w:p w14:paraId="7C8E5F9F" w14:textId="77777777" w:rsidR="00960282" w:rsidRPr="00695265" w:rsidRDefault="00960282" w:rsidP="00B015D5">
            <w:pPr>
              <w:spacing w:before="60" w:after="60"/>
              <w:rPr>
                <w:rFonts w:ascii="Arial" w:hAnsi="Arial" w:cs="Arial"/>
                <w:iCs/>
              </w:rPr>
            </w:pPr>
            <w:r w:rsidRPr="00695265">
              <w:rPr>
                <w:rFonts w:ascii="Arial" w:hAnsi="Arial" w:cs="Arial"/>
                <w:iCs/>
              </w:rPr>
              <w:t xml:space="preserve">Novel foods or ingredients are clearly identified in the </w:t>
            </w:r>
            <w:proofErr w:type="gramStart"/>
            <w:r w:rsidRPr="00695265">
              <w:rPr>
                <w:rFonts w:ascii="Arial" w:hAnsi="Arial" w:cs="Arial"/>
                <w:iCs/>
              </w:rPr>
              <w:t>Code,</w:t>
            </w:r>
            <w:proofErr w:type="gramEnd"/>
            <w:r w:rsidRPr="00695265">
              <w:rPr>
                <w:rFonts w:ascii="Arial" w:hAnsi="Arial" w:cs="Arial"/>
                <w:iCs/>
              </w:rPr>
              <w:t xml:space="preserve"> and labelling and information requirements are to ensure any declarations and/or claims made on labels are truthful and appropriate for consumers. While FSANZ develops the standards for novel foods, compliance with such requirements is not within FSANZ remit.</w:t>
            </w:r>
          </w:p>
          <w:p w14:paraId="6DA8FC7F" w14:textId="201FBC7A" w:rsidR="00E9707B" w:rsidRPr="00695265" w:rsidRDefault="00E9707B" w:rsidP="00B015D5">
            <w:pPr>
              <w:spacing w:before="60" w:after="60"/>
              <w:rPr>
                <w:rFonts w:ascii="Arial" w:hAnsi="Arial" w:cs="Arial"/>
                <w:i/>
                <w:strike/>
              </w:rPr>
            </w:pPr>
          </w:p>
        </w:tc>
        <w:tc>
          <w:tcPr>
            <w:tcW w:w="911" w:type="pct"/>
          </w:tcPr>
          <w:p w14:paraId="06EB873B" w14:textId="77777777" w:rsidR="00E9707B" w:rsidRPr="00695265" w:rsidRDefault="00E9707B" w:rsidP="00B015D5">
            <w:pPr>
              <w:spacing w:before="60" w:after="60"/>
              <w:rPr>
                <w:rFonts w:ascii="Arial" w:hAnsi="Arial" w:cs="Arial"/>
              </w:rPr>
            </w:pPr>
            <w:r w:rsidRPr="00695265">
              <w:rPr>
                <w:rFonts w:ascii="Arial" w:hAnsi="Arial" w:cs="Arial"/>
              </w:rPr>
              <w:t xml:space="preserve">Yes </w:t>
            </w:r>
          </w:p>
        </w:tc>
      </w:tr>
    </w:tbl>
    <w:p w14:paraId="44E40007" w14:textId="77777777" w:rsidR="002A7930" w:rsidRPr="007B5403" w:rsidRDefault="002A7930">
      <w:pPr>
        <w:widowControl/>
        <w:rPr>
          <w:rFonts w:eastAsiaTheme="majorEastAsia" w:cs="Arial"/>
          <w:b/>
          <w:bCs/>
          <w:sz w:val="36"/>
          <w:szCs w:val="28"/>
        </w:rPr>
      </w:pPr>
      <w:r w:rsidRPr="007B5403">
        <w:rPr>
          <w:rFonts w:cs="Arial"/>
        </w:rPr>
        <w:br w:type="page"/>
      </w:r>
    </w:p>
    <w:p w14:paraId="0979EEDA" w14:textId="61744766" w:rsidR="00A014D5" w:rsidRPr="007B5403" w:rsidRDefault="00A014D5" w:rsidP="002D3B33">
      <w:pPr>
        <w:pStyle w:val="Heading1"/>
        <w:rPr>
          <w:rFonts w:cs="Arial"/>
        </w:rPr>
      </w:pPr>
      <w:r w:rsidRPr="007B5403">
        <w:rPr>
          <w:rFonts w:cs="Arial"/>
        </w:rPr>
        <w:lastRenderedPageBreak/>
        <w:t xml:space="preserve">Substances other than Vitamins and Minerals </w:t>
      </w:r>
    </w:p>
    <w:p w14:paraId="39EDFA0F" w14:textId="0663073C" w:rsidR="00960282" w:rsidRPr="007B5403" w:rsidRDefault="002D3B33" w:rsidP="00960282">
      <w:pPr>
        <w:rPr>
          <w:rFonts w:cs="Arial"/>
        </w:rPr>
      </w:pPr>
      <w:r w:rsidRPr="009F5E72">
        <w:rPr>
          <w:rFonts w:cs="Arial"/>
        </w:rPr>
        <w:t>The table below summarises how FSANZ has had regard to the Policy Guideline on the Addition to Food of Substances other than Vitamins and Minerals</w:t>
      </w:r>
      <w:r w:rsidR="00960282" w:rsidRPr="009F5E72">
        <w:rPr>
          <w:rFonts w:cs="Arial"/>
        </w:rPr>
        <w:t>.</w:t>
      </w:r>
      <w:r w:rsidRPr="009F5E72">
        <w:rPr>
          <w:rFonts w:cs="Arial"/>
        </w:rPr>
        <w:t xml:space="preserve"> </w:t>
      </w:r>
      <w:r w:rsidR="00057EC9" w:rsidRPr="007B5403">
        <w:rPr>
          <w:rFonts w:cs="Arial"/>
        </w:rPr>
        <w:t xml:space="preserve">The ‘high order’ principles reflect FSANZ’s statutory objectives described in section 2.4.2 of the Call for Submissions and are therefore not covered in this table. </w:t>
      </w:r>
      <w:r w:rsidR="00960282" w:rsidRPr="007B5403">
        <w:rPr>
          <w:rFonts w:cs="Arial"/>
        </w:rPr>
        <w:t>‘Specific order’ policy principles are provided for substances added for a technological function as well as for ‘Any Other Purpose’. This Application falls under ‘Any Other Purpose’ and therefore regard has been given to these policy principles in the assessment of this Application.</w:t>
      </w:r>
      <w:r w:rsidR="00057EC9" w:rsidRPr="007B5403">
        <w:rPr>
          <w:rFonts w:cs="Arial"/>
        </w:rPr>
        <w:t xml:space="preserve"> </w:t>
      </w:r>
    </w:p>
    <w:p w14:paraId="5D092F31" w14:textId="51FAE3BA" w:rsidR="00CD01A4" w:rsidRPr="009F5E72" w:rsidRDefault="00A014D5" w:rsidP="00FF4939">
      <w:pPr>
        <w:pStyle w:val="Heading5"/>
        <w:rPr>
          <w:rFonts w:cs="Arial"/>
          <w:b/>
        </w:rPr>
      </w:pPr>
      <w:r w:rsidRPr="009F5E72">
        <w:rPr>
          <w:rFonts w:cs="Arial"/>
          <w:lang w:eastAsia="en-GB"/>
        </w:rPr>
        <w:t xml:space="preserve">Specific Order Policy Principles – Any Other Purpose </w:t>
      </w:r>
    </w:p>
    <w:tbl>
      <w:tblPr>
        <w:tblStyle w:val="TableGrid"/>
        <w:tblW w:w="13892" w:type="dxa"/>
        <w:tblLook w:val="04A0" w:firstRow="1" w:lastRow="0" w:firstColumn="1" w:lastColumn="0" w:noHBand="0" w:noVBand="1"/>
        <w:tblDescription w:val="This table summarises FSANZ's assessment against the Minsterial Policy Guideline on Novel Foods "/>
      </w:tblPr>
      <w:tblGrid>
        <w:gridCol w:w="5551"/>
        <w:gridCol w:w="5810"/>
        <w:gridCol w:w="2531"/>
      </w:tblGrid>
      <w:tr w:rsidR="00CD01A4" w:rsidRPr="00695265" w14:paraId="3651C984" w14:textId="77777777" w:rsidTr="009F5E72">
        <w:trPr>
          <w:cantSplit/>
          <w:tblHeader/>
        </w:trPr>
        <w:tc>
          <w:tcPr>
            <w:tcW w:w="1998" w:type="pct"/>
            <w:shd w:val="clear" w:color="auto" w:fill="E5DFEC" w:themeFill="accent4" w:themeFillTint="33"/>
            <w:vAlign w:val="center"/>
          </w:tcPr>
          <w:p w14:paraId="44644D08" w14:textId="0380A22E" w:rsidR="00CD01A4" w:rsidRPr="00695265" w:rsidRDefault="00CD01A4" w:rsidP="007F3E99">
            <w:pPr>
              <w:rPr>
                <w:rFonts w:ascii="Arial" w:hAnsi="Arial" w:cs="Arial"/>
                <w:b/>
                <w:i/>
              </w:rPr>
            </w:pPr>
            <w:r w:rsidRPr="00695265">
              <w:rPr>
                <w:rFonts w:ascii="Arial" w:hAnsi="Arial" w:cs="Arial"/>
                <w:b/>
                <w:szCs w:val="20"/>
              </w:rPr>
              <w:t xml:space="preserve">Specific </w:t>
            </w:r>
            <w:r w:rsidR="00695265">
              <w:rPr>
                <w:rFonts w:ascii="Arial" w:hAnsi="Arial" w:cs="Arial"/>
                <w:b/>
                <w:szCs w:val="20"/>
              </w:rPr>
              <w:t xml:space="preserve">Order </w:t>
            </w:r>
            <w:r w:rsidRPr="00695265">
              <w:rPr>
                <w:rFonts w:ascii="Arial" w:hAnsi="Arial" w:cs="Arial"/>
                <w:b/>
                <w:szCs w:val="20"/>
              </w:rPr>
              <w:t xml:space="preserve">Policy Principles </w:t>
            </w:r>
          </w:p>
        </w:tc>
        <w:tc>
          <w:tcPr>
            <w:tcW w:w="2091" w:type="pct"/>
            <w:shd w:val="clear" w:color="auto" w:fill="E5DFEC" w:themeFill="accent4" w:themeFillTint="33"/>
            <w:vAlign w:val="center"/>
          </w:tcPr>
          <w:p w14:paraId="56EC0AC4" w14:textId="77777777" w:rsidR="00CD01A4" w:rsidRPr="00695265" w:rsidRDefault="00CD01A4" w:rsidP="007F3E99">
            <w:pPr>
              <w:rPr>
                <w:rFonts w:ascii="Arial" w:hAnsi="Arial" w:cs="Arial"/>
                <w:b/>
                <w:i/>
              </w:rPr>
            </w:pPr>
            <w:r w:rsidRPr="00695265">
              <w:rPr>
                <w:rFonts w:ascii="Arial" w:hAnsi="Arial" w:cs="Arial"/>
                <w:b/>
                <w:szCs w:val="20"/>
              </w:rPr>
              <w:t>Approach</w:t>
            </w:r>
          </w:p>
        </w:tc>
        <w:tc>
          <w:tcPr>
            <w:tcW w:w="911" w:type="pct"/>
            <w:shd w:val="clear" w:color="auto" w:fill="E5DFEC" w:themeFill="accent4" w:themeFillTint="33"/>
            <w:vAlign w:val="center"/>
          </w:tcPr>
          <w:p w14:paraId="3865D965" w14:textId="07678D90" w:rsidR="00CD01A4" w:rsidRPr="00695265" w:rsidRDefault="00CD01A4" w:rsidP="002A7930">
            <w:pPr>
              <w:rPr>
                <w:rFonts w:ascii="Arial" w:hAnsi="Arial" w:cs="Arial"/>
                <w:b/>
                <w:i/>
              </w:rPr>
            </w:pPr>
            <w:r w:rsidRPr="00695265">
              <w:rPr>
                <w:rFonts w:ascii="Arial" w:hAnsi="Arial" w:cs="Arial"/>
                <w:b/>
                <w:szCs w:val="20"/>
              </w:rPr>
              <w:t xml:space="preserve">Does the assessment </w:t>
            </w:r>
            <w:r w:rsidR="002A7930" w:rsidRPr="00695265">
              <w:rPr>
                <w:rFonts w:ascii="Arial" w:hAnsi="Arial" w:cs="Arial"/>
                <w:b/>
                <w:szCs w:val="20"/>
              </w:rPr>
              <w:t>satisfy</w:t>
            </w:r>
            <w:r w:rsidRPr="00695265">
              <w:rPr>
                <w:rFonts w:ascii="Arial" w:hAnsi="Arial" w:cs="Arial"/>
                <w:b/>
                <w:szCs w:val="20"/>
              </w:rPr>
              <w:t xml:space="preserve"> the Policy Principles</w:t>
            </w:r>
          </w:p>
        </w:tc>
      </w:tr>
      <w:tr w:rsidR="00CD01A4" w:rsidRPr="00695265" w14:paraId="3AC20ECA" w14:textId="77777777" w:rsidTr="009F5E72">
        <w:trPr>
          <w:cantSplit/>
        </w:trPr>
        <w:tc>
          <w:tcPr>
            <w:tcW w:w="1998" w:type="pct"/>
          </w:tcPr>
          <w:p w14:paraId="5434123F" w14:textId="69E8FA30" w:rsidR="00CD01A4" w:rsidRPr="00695265" w:rsidRDefault="00960282" w:rsidP="00B015D5">
            <w:pPr>
              <w:pStyle w:val="FSBullet"/>
              <w:numPr>
                <w:ilvl w:val="0"/>
                <w:numId w:val="15"/>
              </w:numPr>
              <w:spacing w:before="60" w:after="60"/>
              <w:ind w:left="0" w:firstLine="0"/>
              <w:rPr>
                <w:rFonts w:ascii="Arial" w:hAnsi="Arial"/>
              </w:rPr>
            </w:pPr>
            <w:r w:rsidRPr="00695265">
              <w:rPr>
                <w:rFonts w:ascii="Arial" w:hAnsi="Arial"/>
              </w:rPr>
              <w:t>the purpose for addition can be articulated clearly by the manufacturer (i.e. the stated purpose)</w:t>
            </w:r>
          </w:p>
        </w:tc>
        <w:tc>
          <w:tcPr>
            <w:tcW w:w="2091" w:type="pct"/>
          </w:tcPr>
          <w:p w14:paraId="6CACD8EB" w14:textId="1D04DFCC" w:rsidR="00CD01A4" w:rsidRPr="00695265" w:rsidRDefault="00960282" w:rsidP="00B015D5">
            <w:pPr>
              <w:spacing w:before="60" w:after="60"/>
              <w:rPr>
                <w:rFonts w:ascii="Arial" w:hAnsi="Arial" w:cs="Arial"/>
                <w:strike/>
                <w:color w:val="00B050"/>
                <w:szCs w:val="20"/>
              </w:rPr>
            </w:pPr>
            <w:r w:rsidRPr="00695265">
              <w:rPr>
                <w:rFonts w:ascii="Arial" w:hAnsi="Arial" w:cs="Arial"/>
              </w:rPr>
              <w:t xml:space="preserve">The purpose for adding increased amounts of plant sterols to foods is clearly articulated by the Applicant (see section 1.2 of the </w:t>
            </w:r>
            <w:r w:rsidR="00105338" w:rsidRPr="00695265">
              <w:rPr>
                <w:rFonts w:ascii="Arial" w:hAnsi="Arial" w:cs="Arial"/>
              </w:rPr>
              <w:t>assessment summary</w:t>
            </w:r>
            <w:r w:rsidRPr="00695265">
              <w:rPr>
                <w:rFonts w:ascii="Arial" w:hAnsi="Arial" w:cs="Arial"/>
              </w:rPr>
              <w:t xml:space="preserve">). </w:t>
            </w:r>
          </w:p>
        </w:tc>
        <w:tc>
          <w:tcPr>
            <w:tcW w:w="911" w:type="pct"/>
          </w:tcPr>
          <w:p w14:paraId="3E0AAE00" w14:textId="77777777" w:rsidR="00CD01A4" w:rsidRPr="00695265" w:rsidRDefault="00CD01A4" w:rsidP="00B015D5">
            <w:pPr>
              <w:spacing w:before="60" w:after="60"/>
              <w:rPr>
                <w:rFonts w:ascii="Arial" w:hAnsi="Arial" w:cs="Arial"/>
              </w:rPr>
            </w:pPr>
            <w:r w:rsidRPr="00695265">
              <w:rPr>
                <w:rFonts w:ascii="Arial" w:hAnsi="Arial" w:cs="Arial"/>
              </w:rPr>
              <w:t>Yes</w:t>
            </w:r>
          </w:p>
        </w:tc>
      </w:tr>
      <w:tr w:rsidR="00CD01A4" w:rsidRPr="00695265" w14:paraId="4E635E1E" w14:textId="77777777" w:rsidTr="009F5E72">
        <w:trPr>
          <w:cantSplit/>
        </w:trPr>
        <w:tc>
          <w:tcPr>
            <w:tcW w:w="1998" w:type="pct"/>
          </w:tcPr>
          <w:p w14:paraId="7AABB5D9" w14:textId="4D4C5403" w:rsidR="00FF4939" w:rsidRPr="00695265" w:rsidRDefault="00960282" w:rsidP="00B015D5">
            <w:pPr>
              <w:pStyle w:val="FSBullet"/>
              <w:numPr>
                <w:ilvl w:val="0"/>
                <w:numId w:val="15"/>
              </w:numPr>
              <w:spacing w:before="60" w:after="60"/>
              <w:ind w:left="0" w:firstLine="0"/>
              <w:rPr>
                <w:rFonts w:ascii="Arial" w:hAnsi="Arial"/>
              </w:rPr>
            </w:pPr>
            <w:r w:rsidRPr="00695265">
              <w:rPr>
                <w:rFonts w:ascii="Arial" w:hAnsi="Arial"/>
              </w:rPr>
              <w:t>the addition of the substance to food is safe for human consumption</w:t>
            </w:r>
          </w:p>
          <w:p w14:paraId="3A73ED37" w14:textId="1093F759" w:rsidR="00CD01A4" w:rsidRPr="00695265" w:rsidRDefault="00CD01A4" w:rsidP="00B015D5">
            <w:pPr>
              <w:spacing w:before="60" w:after="60"/>
              <w:rPr>
                <w:rFonts w:ascii="Arial" w:hAnsi="Arial" w:cs="Arial"/>
                <w:i/>
              </w:rPr>
            </w:pPr>
          </w:p>
        </w:tc>
        <w:tc>
          <w:tcPr>
            <w:tcW w:w="2091" w:type="pct"/>
          </w:tcPr>
          <w:p w14:paraId="2C30DA5C" w14:textId="6155AC9A" w:rsidR="00CD01A4" w:rsidRPr="00695265" w:rsidRDefault="00960282" w:rsidP="00B015D5">
            <w:pPr>
              <w:spacing w:before="60" w:after="60"/>
              <w:rPr>
                <w:rFonts w:ascii="Arial" w:hAnsi="Arial" w:cs="Arial"/>
                <w:i/>
                <w:strike/>
                <w:szCs w:val="20"/>
              </w:rPr>
            </w:pPr>
            <w:r w:rsidRPr="00695265">
              <w:rPr>
                <w:rFonts w:ascii="Arial" w:hAnsi="Arial" w:cs="Arial"/>
              </w:rPr>
              <w:t>The safety of plant sterols has been addressed by FSANZ through a number of previous applications and the current risk assessment maintains the safety of plant sterols. Information relevant to this Application is available in SD1 and is summarised in section 2.1 of the Call for Submissions.</w:t>
            </w:r>
          </w:p>
        </w:tc>
        <w:tc>
          <w:tcPr>
            <w:tcW w:w="911" w:type="pct"/>
          </w:tcPr>
          <w:p w14:paraId="6935C214" w14:textId="3E15D56F" w:rsidR="00CD01A4" w:rsidRPr="00695265" w:rsidRDefault="00540700" w:rsidP="00B015D5">
            <w:pPr>
              <w:spacing w:before="60" w:after="60"/>
              <w:rPr>
                <w:rFonts w:ascii="Arial" w:hAnsi="Arial" w:cs="Arial"/>
              </w:rPr>
            </w:pPr>
            <w:r w:rsidRPr="00695265">
              <w:rPr>
                <w:rFonts w:ascii="Arial" w:hAnsi="Arial" w:cs="Arial"/>
              </w:rPr>
              <w:t>Y</w:t>
            </w:r>
            <w:r w:rsidR="00CD01A4" w:rsidRPr="00695265">
              <w:rPr>
                <w:rFonts w:ascii="Arial" w:hAnsi="Arial" w:cs="Arial"/>
              </w:rPr>
              <w:t>es</w:t>
            </w:r>
          </w:p>
        </w:tc>
      </w:tr>
      <w:tr w:rsidR="00CD01A4" w:rsidRPr="00695265" w14:paraId="5D16AFFB" w14:textId="77777777" w:rsidTr="009F5E72">
        <w:trPr>
          <w:cantSplit/>
        </w:trPr>
        <w:tc>
          <w:tcPr>
            <w:tcW w:w="1998" w:type="pct"/>
          </w:tcPr>
          <w:p w14:paraId="358432BC" w14:textId="498FB2DB" w:rsidR="00FF4939" w:rsidRPr="00695265" w:rsidRDefault="00540700" w:rsidP="00B015D5">
            <w:pPr>
              <w:pStyle w:val="FSBullet"/>
              <w:numPr>
                <w:ilvl w:val="0"/>
                <w:numId w:val="15"/>
              </w:numPr>
              <w:spacing w:before="60" w:after="60"/>
              <w:ind w:left="0" w:firstLine="0"/>
              <w:rPr>
                <w:rFonts w:ascii="Arial" w:hAnsi="Arial"/>
              </w:rPr>
            </w:pPr>
            <w:r w:rsidRPr="00695265">
              <w:rPr>
                <w:rFonts w:ascii="Arial" w:hAnsi="Arial"/>
              </w:rPr>
              <w:lastRenderedPageBreak/>
              <w:t xml:space="preserve">The substance is </w:t>
            </w:r>
            <w:r w:rsidR="00FF4939" w:rsidRPr="00695265">
              <w:rPr>
                <w:rFonts w:ascii="Arial" w:hAnsi="Arial"/>
              </w:rPr>
              <w:t xml:space="preserve">added in a quantity and a form which is consistent with delivering the stated purpose </w:t>
            </w:r>
          </w:p>
          <w:p w14:paraId="551E9178" w14:textId="5BBB6827" w:rsidR="00CD01A4" w:rsidRPr="00695265" w:rsidRDefault="00CD01A4" w:rsidP="00B015D5">
            <w:pPr>
              <w:spacing w:before="60" w:after="60"/>
              <w:rPr>
                <w:rFonts w:ascii="Arial" w:hAnsi="Arial" w:cs="Arial"/>
              </w:rPr>
            </w:pPr>
          </w:p>
        </w:tc>
        <w:tc>
          <w:tcPr>
            <w:tcW w:w="2091" w:type="pct"/>
          </w:tcPr>
          <w:p w14:paraId="780A27E9" w14:textId="3CFF0747" w:rsidR="00EA6A22" w:rsidRPr="00695265" w:rsidRDefault="00EA6A22" w:rsidP="00B015D5">
            <w:pPr>
              <w:spacing w:before="60" w:after="60"/>
              <w:rPr>
                <w:rFonts w:ascii="Arial" w:hAnsi="Arial" w:cs="Arial"/>
              </w:rPr>
            </w:pPr>
            <w:r w:rsidRPr="00695265">
              <w:rPr>
                <w:rFonts w:ascii="Arial" w:hAnsi="Arial" w:cs="Arial"/>
              </w:rPr>
              <w:t xml:space="preserve">The purpose of the Application is to allow increased concentrations of plant sterols in breakfast cereals so that 2 g of plant sterols, the amount needed per day to lower blood cholesterol levels, can be obtained from one serving. </w:t>
            </w:r>
            <w:r w:rsidR="00A3198D" w:rsidRPr="00695265">
              <w:rPr>
                <w:rFonts w:ascii="Arial" w:hAnsi="Arial" w:cs="Arial"/>
              </w:rPr>
              <w:t xml:space="preserve">This is addressed in section 2.2.2.2 of the </w:t>
            </w:r>
            <w:r w:rsidR="00105338" w:rsidRPr="00695265">
              <w:rPr>
                <w:rFonts w:ascii="Arial" w:hAnsi="Arial" w:cs="Arial"/>
              </w:rPr>
              <w:t>assessment summary</w:t>
            </w:r>
            <w:r w:rsidR="00A3198D" w:rsidRPr="00695265">
              <w:rPr>
                <w:rFonts w:ascii="Arial" w:hAnsi="Arial" w:cs="Arial"/>
              </w:rPr>
              <w:t xml:space="preserve">. </w:t>
            </w:r>
          </w:p>
          <w:p w14:paraId="38AA0450" w14:textId="77777777" w:rsidR="00EA6A22" w:rsidRPr="00695265" w:rsidRDefault="00EA6A22" w:rsidP="00B015D5">
            <w:pPr>
              <w:spacing w:before="60" w:after="60"/>
              <w:rPr>
                <w:rFonts w:ascii="Arial" w:hAnsi="Arial" w:cs="Arial"/>
              </w:rPr>
            </w:pPr>
          </w:p>
          <w:p w14:paraId="10BF8A01" w14:textId="6D854AEF" w:rsidR="007C2755" w:rsidRPr="00695265" w:rsidRDefault="00EA6A22" w:rsidP="00B015D5">
            <w:pPr>
              <w:spacing w:before="60" w:after="60"/>
              <w:rPr>
                <w:rFonts w:ascii="Arial" w:hAnsi="Arial" w:cs="Arial"/>
              </w:rPr>
            </w:pPr>
            <w:r w:rsidRPr="00695265">
              <w:rPr>
                <w:rFonts w:ascii="Arial" w:hAnsi="Arial" w:cs="Arial"/>
              </w:rPr>
              <w:t xml:space="preserve">In relation to the form of plant sterols that is added to breakfast cereals, the assessment in a previous Application, A1024, concluded that phytosterols, </w:t>
            </w:r>
            <w:proofErr w:type="spellStart"/>
            <w:r w:rsidRPr="00695265">
              <w:rPr>
                <w:rFonts w:ascii="Arial" w:hAnsi="Arial" w:cs="Arial"/>
              </w:rPr>
              <w:t>phytostanols</w:t>
            </w:r>
            <w:proofErr w:type="spellEnd"/>
            <w:r w:rsidRPr="00695265">
              <w:rPr>
                <w:rFonts w:ascii="Arial" w:hAnsi="Arial" w:cs="Arial"/>
              </w:rPr>
              <w:t xml:space="preserve"> and their fatty acid esters are comparable in terms of their efficacy in lowering blood cholesterol, provided plant sterols are adequately incorporated into the food (refer to </w:t>
            </w:r>
            <w:r w:rsidRPr="00695265">
              <w:rPr>
                <w:rFonts w:ascii="Arial" w:hAnsi="Arial" w:cs="Arial"/>
                <w:b/>
              </w:rPr>
              <w:t>SD1</w:t>
            </w:r>
            <w:r w:rsidRPr="00695265">
              <w:rPr>
                <w:rFonts w:ascii="Arial" w:hAnsi="Arial" w:cs="Arial"/>
              </w:rPr>
              <w:t xml:space="preserve">). SD1 concludes that from a technological perspective, it is possible to add plant sterols at higher levels than currently permitted in breakfast cereals. </w:t>
            </w:r>
          </w:p>
        </w:tc>
        <w:tc>
          <w:tcPr>
            <w:tcW w:w="911" w:type="pct"/>
          </w:tcPr>
          <w:p w14:paraId="1F1E00F0" w14:textId="77777777" w:rsidR="00CD01A4" w:rsidRPr="00695265" w:rsidRDefault="00CD01A4" w:rsidP="00B015D5">
            <w:pPr>
              <w:spacing w:before="60" w:after="60"/>
              <w:rPr>
                <w:rFonts w:ascii="Arial" w:hAnsi="Arial" w:cs="Arial"/>
              </w:rPr>
            </w:pPr>
            <w:r w:rsidRPr="00695265">
              <w:rPr>
                <w:rFonts w:ascii="Arial" w:hAnsi="Arial" w:cs="Arial"/>
              </w:rPr>
              <w:t>Yes</w:t>
            </w:r>
          </w:p>
        </w:tc>
      </w:tr>
      <w:tr w:rsidR="00CD01A4" w:rsidRPr="00695265" w14:paraId="72C71DD0" w14:textId="77777777" w:rsidTr="009F5E72">
        <w:trPr>
          <w:cantSplit/>
        </w:trPr>
        <w:tc>
          <w:tcPr>
            <w:tcW w:w="1998" w:type="pct"/>
          </w:tcPr>
          <w:p w14:paraId="59E73022" w14:textId="1E277B67" w:rsidR="00540700" w:rsidRPr="00695265" w:rsidRDefault="00FF4939" w:rsidP="00B015D5">
            <w:pPr>
              <w:pStyle w:val="FSBullet"/>
              <w:numPr>
                <w:ilvl w:val="0"/>
                <w:numId w:val="15"/>
              </w:numPr>
              <w:spacing w:before="60" w:after="60"/>
              <w:ind w:left="0" w:firstLine="0"/>
              <w:rPr>
                <w:rFonts w:ascii="Arial" w:hAnsi="Arial"/>
              </w:rPr>
            </w:pPr>
            <w:r w:rsidRPr="00695265">
              <w:rPr>
                <w:rFonts w:ascii="Arial" w:hAnsi="Arial"/>
              </w:rPr>
              <w:t>The addition of the substance is not likely to create a significant negative public health impact to the general population or sub population</w:t>
            </w:r>
          </w:p>
          <w:p w14:paraId="64FD6C96" w14:textId="3F97961B" w:rsidR="00CD01A4" w:rsidRPr="00695265" w:rsidRDefault="00CD01A4" w:rsidP="00B015D5">
            <w:pPr>
              <w:pStyle w:val="FSBullet"/>
              <w:numPr>
                <w:ilvl w:val="0"/>
                <w:numId w:val="0"/>
              </w:numPr>
              <w:spacing w:before="60" w:after="60"/>
              <w:rPr>
                <w:rFonts w:ascii="Arial" w:hAnsi="Arial"/>
              </w:rPr>
            </w:pPr>
          </w:p>
        </w:tc>
        <w:tc>
          <w:tcPr>
            <w:tcW w:w="2091" w:type="pct"/>
          </w:tcPr>
          <w:p w14:paraId="2F5BC4B0" w14:textId="0341EA20" w:rsidR="00CD01A4" w:rsidRPr="00695265" w:rsidRDefault="00793EB0" w:rsidP="00B015D5">
            <w:pPr>
              <w:spacing w:before="60" w:after="60"/>
              <w:rPr>
                <w:rFonts w:ascii="Arial" w:hAnsi="Arial" w:cs="Arial"/>
                <w:i/>
                <w:strike/>
                <w:szCs w:val="20"/>
              </w:rPr>
            </w:pPr>
            <w:r w:rsidRPr="00695265">
              <w:rPr>
                <w:rFonts w:ascii="Arial" w:hAnsi="Arial" w:cs="Arial"/>
              </w:rPr>
              <w:t>The risk assessment indicates the addition of</w:t>
            </w:r>
            <w:r w:rsidR="00EA6A22" w:rsidRPr="00695265">
              <w:rPr>
                <w:rFonts w:ascii="Arial" w:hAnsi="Arial" w:cs="Arial"/>
              </w:rPr>
              <w:t xml:space="preserve"> plant sterols </w:t>
            </w:r>
            <w:r w:rsidRPr="00695265">
              <w:rPr>
                <w:rFonts w:ascii="Arial" w:hAnsi="Arial" w:cs="Arial"/>
              </w:rPr>
              <w:t>as proposed would not create a significant public health impact</w:t>
            </w:r>
            <w:r w:rsidR="00540700" w:rsidRPr="00695265">
              <w:rPr>
                <w:rFonts w:ascii="Arial" w:hAnsi="Arial" w:cs="Arial"/>
              </w:rPr>
              <w:t>.</w:t>
            </w:r>
            <w:r w:rsidR="00EA6A22" w:rsidRPr="00695265">
              <w:rPr>
                <w:rFonts w:ascii="Arial" w:hAnsi="Arial" w:cs="Arial"/>
              </w:rPr>
              <w:t xml:space="preserve"> This</w:t>
            </w:r>
            <w:r w:rsidR="00540700" w:rsidRPr="00695265">
              <w:rPr>
                <w:rFonts w:ascii="Arial" w:hAnsi="Arial" w:cs="Arial"/>
              </w:rPr>
              <w:t xml:space="preserve"> </w:t>
            </w:r>
            <w:r w:rsidR="00EA6A22" w:rsidRPr="00695265">
              <w:rPr>
                <w:rFonts w:ascii="Arial" w:hAnsi="Arial" w:cs="Arial"/>
              </w:rPr>
              <w:t xml:space="preserve">is discussed in sections 2.1 and 2.4.2.1 of the </w:t>
            </w:r>
            <w:r w:rsidR="00105338" w:rsidRPr="00695265">
              <w:rPr>
                <w:rFonts w:ascii="Arial" w:hAnsi="Arial" w:cs="Arial"/>
              </w:rPr>
              <w:t>assessment summary</w:t>
            </w:r>
            <w:r w:rsidR="00EA6A22" w:rsidRPr="00695265">
              <w:rPr>
                <w:rFonts w:ascii="Arial" w:hAnsi="Arial" w:cs="Arial"/>
              </w:rPr>
              <w:t>.</w:t>
            </w:r>
          </w:p>
        </w:tc>
        <w:tc>
          <w:tcPr>
            <w:tcW w:w="911" w:type="pct"/>
          </w:tcPr>
          <w:p w14:paraId="6E955ABE" w14:textId="77777777" w:rsidR="00CD01A4" w:rsidRPr="00695265" w:rsidRDefault="00CD01A4" w:rsidP="00B015D5">
            <w:pPr>
              <w:pStyle w:val="ListParagraph"/>
              <w:spacing w:before="60" w:after="60"/>
              <w:ind w:left="0"/>
              <w:contextualSpacing w:val="0"/>
              <w:rPr>
                <w:rFonts w:ascii="Arial" w:hAnsi="Arial" w:cs="Arial"/>
              </w:rPr>
            </w:pPr>
            <w:r w:rsidRPr="00695265">
              <w:rPr>
                <w:rFonts w:ascii="Arial" w:hAnsi="Arial" w:cs="Arial"/>
              </w:rPr>
              <w:t>Yes</w:t>
            </w:r>
          </w:p>
        </w:tc>
      </w:tr>
      <w:tr w:rsidR="00CD01A4" w:rsidRPr="00695265" w14:paraId="62B519A6" w14:textId="77777777" w:rsidTr="009F5E72">
        <w:trPr>
          <w:cantSplit/>
        </w:trPr>
        <w:tc>
          <w:tcPr>
            <w:tcW w:w="1998" w:type="pct"/>
          </w:tcPr>
          <w:p w14:paraId="5BCF98E4" w14:textId="4417BFF3" w:rsidR="00CD01A4" w:rsidRPr="00695265" w:rsidRDefault="00540700" w:rsidP="00B015D5">
            <w:pPr>
              <w:pStyle w:val="ListParagraph"/>
              <w:numPr>
                <w:ilvl w:val="0"/>
                <w:numId w:val="15"/>
              </w:numPr>
              <w:spacing w:before="60" w:after="60"/>
              <w:ind w:left="0" w:firstLine="0"/>
              <w:contextualSpacing w:val="0"/>
              <w:rPr>
                <w:rFonts w:ascii="Arial" w:hAnsi="Arial" w:cs="Arial"/>
              </w:rPr>
            </w:pPr>
            <w:r w:rsidRPr="00695265">
              <w:rPr>
                <w:rFonts w:ascii="Arial" w:hAnsi="Arial" w:cs="Arial"/>
              </w:rPr>
              <w:t>The presence of t</w:t>
            </w:r>
            <w:r w:rsidR="00793EB0" w:rsidRPr="00695265">
              <w:rPr>
                <w:rFonts w:ascii="Arial" w:hAnsi="Arial" w:cs="Arial"/>
              </w:rPr>
              <w:t>he substance does not mislead th</w:t>
            </w:r>
            <w:r w:rsidRPr="00695265">
              <w:rPr>
                <w:rFonts w:ascii="Arial" w:hAnsi="Arial" w:cs="Arial"/>
              </w:rPr>
              <w:t>e consumer as to the nutritional quality of the food</w:t>
            </w:r>
          </w:p>
        </w:tc>
        <w:tc>
          <w:tcPr>
            <w:tcW w:w="2091" w:type="pct"/>
          </w:tcPr>
          <w:p w14:paraId="384B2F4F" w14:textId="4DA29B57" w:rsidR="00CD01A4" w:rsidRPr="00695265" w:rsidRDefault="00540700" w:rsidP="00B015D5">
            <w:pPr>
              <w:pStyle w:val="FSBullet"/>
              <w:numPr>
                <w:ilvl w:val="0"/>
                <w:numId w:val="0"/>
              </w:numPr>
              <w:spacing w:before="60" w:after="60"/>
              <w:rPr>
                <w:rFonts w:ascii="Arial" w:hAnsi="Arial"/>
              </w:rPr>
            </w:pPr>
            <w:r w:rsidRPr="00695265">
              <w:rPr>
                <w:rFonts w:ascii="Arial" w:hAnsi="Arial"/>
              </w:rPr>
              <w:t xml:space="preserve">The </w:t>
            </w:r>
            <w:r w:rsidR="00EA6A22" w:rsidRPr="00695265">
              <w:rPr>
                <w:rFonts w:ascii="Arial" w:hAnsi="Arial"/>
              </w:rPr>
              <w:t xml:space="preserve">Code includes conditions to prevent consumers being misled or deceived. These are discussed in section 2.4.2.3 of the </w:t>
            </w:r>
            <w:r w:rsidR="00105338" w:rsidRPr="00695265">
              <w:rPr>
                <w:rFonts w:ascii="Arial" w:hAnsi="Arial"/>
              </w:rPr>
              <w:t>assessment summary</w:t>
            </w:r>
            <w:r w:rsidR="00EA6A22" w:rsidRPr="00695265">
              <w:rPr>
                <w:rFonts w:ascii="Arial" w:hAnsi="Arial"/>
              </w:rPr>
              <w:t xml:space="preserve">. </w:t>
            </w:r>
            <w:r w:rsidRPr="00695265">
              <w:rPr>
                <w:rFonts w:ascii="Arial" w:hAnsi="Arial"/>
              </w:rPr>
              <w:t xml:space="preserve"> </w:t>
            </w:r>
          </w:p>
        </w:tc>
        <w:tc>
          <w:tcPr>
            <w:tcW w:w="911" w:type="pct"/>
          </w:tcPr>
          <w:p w14:paraId="3762C1E4" w14:textId="77777777" w:rsidR="00CD01A4" w:rsidRPr="00695265" w:rsidRDefault="00CD01A4" w:rsidP="00B015D5">
            <w:pPr>
              <w:pStyle w:val="ListParagraph"/>
              <w:spacing w:before="60" w:after="60"/>
              <w:ind w:left="0"/>
              <w:contextualSpacing w:val="0"/>
              <w:rPr>
                <w:rFonts w:ascii="Arial" w:hAnsi="Arial" w:cs="Arial"/>
              </w:rPr>
            </w:pPr>
            <w:r w:rsidRPr="00695265">
              <w:rPr>
                <w:rFonts w:ascii="Arial" w:hAnsi="Arial" w:cs="Arial"/>
              </w:rPr>
              <w:t>Yes</w:t>
            </w:r>
          </w:p>
        </w:tc>
      </w:tr>
    </w:tbl>
    <w:p w14:paraId="6D410DCF" w14:textId="77777777" w:rsidR="00CD01A4" w:rsidRPr="00695265" w:rsidRDefault="00CD01A4" w:rsidP="00CD01A4">
      <w:pPr>
        <w:rPr>
          <w:rFonts w:cs="Arial"/>
          <w:lang w:eastAsia="en-GB"/>
        </w:rPr>
      </w:pPr>
    </w:p>
    <w:sectPr w:rsidR="00CD01A4" w:rsidRPr="00695265" w:rsidSect="00EF3163">
      <w:headerReference w:type="even" r:id="rId11"/>
      <w:headerReference w:type="default" r:id="rId12"/>
      <w:footerReference w:type="even" r:id="rId13"/>
      <w:footerReference w:type="default" r:id="rId14"/>
      <w:headerReference w:type="first" r:id="rId15"/>
      <w:footerReference w:type="first" r:id="rId16"/>
      <w:pgSz w:w="16838" w:h="11906" w:orient="landscape"/>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BBB66D" w14:textId="77777777" w:rsidR="00023C6C" w:rsidRDefault="00023C6C" w:rsidP="00A014D5">
      <w:r>
        <w:separator/>
      </w:r>
    </w:p>
  </w:endnote>
  <w:endnote w:type="continuationSeparator" w:id="0">
    <w:p w14:paraId="693BCF5D" w14:textId="77777777" w:rsidR="00023C6C" w:rsidRDefault="00023C6C" w:rsidP="00A01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2A8B94" w14:textId="77777777" w:rsidR="00ED73DE" w:rsidRDefault="00ED73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7964049"/>
      <w:docPartObj>
        <w:docPartGallery w:val="Page Numbers (Bottom of Page)"/>
        <w:docPartUnique/>
      </w:docPartObj>
    </w:sdtPr>
    <w:sdtEndPr>
      <w:rPr>
        <w:noProof/>
      </w:rPr>
    </w:sdtEndPr>
    <w:sdtContent>
      <w:p w14:paraId="6196131C" w14:textId="11FC1395" w:rsidR="00EF3163" w:rsidRDefault="00EF3163">
        <w:pPr>
          <w:pStyle w:val="Footer"/>
          <w:jc w:val="center"/>
        </w:pPr>
        <w:r>
          <w:fldChar w:fldCharType="begin"/>
        </w:r>
        <w:r>
          <w:instrText xml:space="preserve"> PAGE   \* MERGEFORMAT </w:instrText>
        </w:r>
        <w:r>
          <w:fldChar w:fldCharType="separate"/>
        </w:r>
        <w:r w:rsidR="00ED73DE">
          <w:rPr>
            <w:noProof/>
          </w:rPr>
          <w:t>4</w:t>
        </w:r>
        <w:r>
          <w:rPr>
            <w:noProof/>
          </w:rPr>
          <w:fldChar w:fldCharType="end"/>
        </w:r>
      </w:p>
    </w:sdtContent>
  </w:sdt>
  <w:p w14:paraId="4D255ED0" w14:textId="77777777" w:rsidR="00EF3163" w:rsidRDefault="00EF316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3D0DB2" w14:textId="77777777" w:rsidR="00ED73DE" w:rsidRDefault="00ED73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59D865" w14:textId="77777777" w:rsidR="00023C6C" w:rsidRDefault="00023C6C" w:rsidP="00A014D5">
      <w:r>
        <w:separator/>
      </w:r>
    </w:p>
  </w:footnote>
  <w:footnote w:type="continuationSeparator" w:id="0">
    <w:p w14:paraId="56B8DFED" w14:textId="77777777" w:rsidR="00023C6C" w:rsidRDefault="00023C6C" w:rsidP="00A014D5">
      <w:r>
        <w:continuationSeparator/>
      </w:r>
    </w:p>
  </w:footnote>
  <w:footnote w:id="1">
    <w:p w14:paraId="4E033AB9" w14:textId="3F7994BB" w:rsidR="0009352E" w:rsidRPr="0038051C" w:rsidRDefault="0009352E">
      <w:pPr>
        <w:pStyle w:val="FootnoteText"/>
        <w:rPr>
          <w:lang w:val="en-AU"/>
        </w:rPr>
      </w:pPr>
      <w:r>
        <w:rPr>
          <w:rStyle w:val="FootnoteReference"/>
        </w:rPr>
        <w:footnoteRef/>
      </w:r>
      <w:r>
        <w:t xml:space="preserve"> </w:t>
      </w:r>
      <w:hyperlink r:id="rId1" w:history="1">
        <w:r w:rsidRPr="00A267B8">
          <w:rPr>
            <w:rStyle w:val="Hyperlink"/>
          </w:rPr>
          <w:t>http://www.foodstandards.gov.au/code/fofr/fofrpolicy/pages/default.aspx</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8DF813" w14:textId="77777777" w:rsidR="00ED73DE" w:rsidRDefault="00ED73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9DFEB7" w14:textId="77777777" w:rsidR="00ED73DE" w:rsidRDefault="00ED73D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4203AD" w14:textId="77777777" w:rsidR="00ED73DE" w:rsidRDefault="00ED73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EC1A89"/>
    <w:multiLevelType w:val="hybridMultilevel"/>
    <w:tmpl w:val="3C8A0EDA"/>
    <w:lvl w:ilvl="0" w:tplc="0C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2B9A7821"/>
    <w:multiLevelType w:val="hybridMultilevel"/>
    <w:tmpl w:val="3C8A0EDA"/>
    <w:lvl w:ilvl="0" w:tplc="0C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nsid w:val="3E0A4F35"/>
    <w:multiLevelType w:val="hybridMultilevel"/>
    <w:tmpl w:val="3C8A0EDA"/>
    <w:lvl w:ilvl="0" w:tplc="0C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E823F7C"/>
    <w:multiLevelType w:val="hybridMultilevel"/>
    <w:tmpl w:val="3C8A0EDA"/>
    <w:lvl w:ilvl="0" w:tplc="0C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9">
    <w:nsid w:val="7C0821AE"/>
    <w:multiLevelType w:val="hybridMultilevel"/>
    <w:tmpl w:val="3C8A0EDA"/>
    <w:lvl w:ilvl="0" w:tplc="0C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nsid w:val="7FDC00B1"/>
    <w:multiLevelType w:val="hybridMultilevel"/>
    <w:tmpl w:val="E116A9C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8"/>
  </w:num>
  <w:num w:numId="9">
    <w:abstractNumId w:val="5"/>
  </w:num>
  <w:num w:numId="10">
    <w:abstractNumId w:val="6"/>
  </w:num>
  <w:num w:numId="11">
    <w:abstractNumId w:val="8"/>
  </w:num>
  <w:num w:numId="12">
    <w:abstractNumId w:val="5"/>
  </w:num>
  <w:num w:numId="13">
    <w:abstractNumId w:val="6"/>
  </w:num>
  <w:num w:numId="14">
    <w:abstractNumId w:val="0"/>
  </w:num>
  <w:num w:numId="15">
    <w:abstractNumId w:val="1"/>
  </w:num>
  <w:num w:numId="16">
    <w:abstractNumId w:val="10"/>
  </w:num>
  <w:num w:numId="17">
    <w:abstractNumId w:val="9"/>
  </w:num>
  <w:num w:numId="18">
    <w:abstractNumId w:val="2"/>
  </w:num>
  <w:num w:numId="19">
    <w:abstractNumId w:val="4"/>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4D5"/>
    <w:rsid w:val="0000542C"/>
    <w:rsid w:val="000055EC"/>
    <w:rsid w:val="00023C6C"/>
    <w:rsid w:val="00041643"/>
    <w:rsid w:val="00057EC9"/>
    <w:rsid w:val="000622E7"/>
    <w:rsid w:val="00066854"/>
    <w:rsid w:val="00066D85"/>
    <w:rsid w:val="0009352E"/>
    <w:rsid w:val="000A38F8"/>
    <w:rsid w:val="000F2196"/>
    <w:rsid w:val="00105338"/>
    <w:rsid w:val="00120C8E"/>
    <w:rsid w:val="00124E51"/>
    <w:rsid w:val="001734EA"/>
    <w:rsid w:val="00175EA0"/>
    <w:rsid w:val="00184403"/>
    <w:rsid w:val="00191770"/>
    <w:rsid w:val="001C5126"/>
    <w:rsid w:val="001D6232"/>
    <w:rsid w:val="001E696B"/>
    <w:rsid w:val="002232B1"/>
    <w:rsid w:val="00234C31"/>
    <w:rsid w:val="00277893"/>
    <w:rsid w:val="002A7930"/>
    <w:rsid w:val="002D3B33"/>
    <w:rsid w:val="002D77A5"/>
    <w:rsid w:val="0033021F"/>
    <w:rsid w:val="00341D25"/>
    <w:rsid w:val="0038051C"/>
    <w:rsid w:val="003A01FB"/>
    <w:rsid w:val="00404702"/>
    <w:rsid w:val="00441D77"/>
    <w:rsid w:val="00443DDA"/>
    <w:rsid w:val="00443F05"/>
    <w:rsid w:val="00456963"/>
    <w:rsid w:val="004712A8"/>
    <w:rsid w:val="00486619"/>
    <w:rsid w:val="004D3868"/>
    <w:rsid w:val="004E62F7"/>
    <w:rsid w:val="004E6694"/>
    <w:rsid w:val="00511A21"/>
    <w:rsid w:val="0054036E"/>
    <w:rsid w:val="00540700"/>
    <w:rsid w:val="00565092"/>
    <w:rsid w:val="00585852"/>
    <w:rsid w:val="005B38B8"/>
    <w:rsid w:val="005B578D"/>
    <w:rsid w:val="005B7E14"/>
    <w:rsid w:val="005C1996"/>
    <w:rsid w:val="00695265"/>
    <w:rsid w:val="006B6900"/>
    <w:rsid w:val="006D473E"/>
    <w:rsid w:val="006F653F"/>
    <w:rsid w:val="007201F8"/>
    <w:rsid w:val="00760EFB"/>
    <w:rsid w:val="00793DE6"/>
    <w:rsid w:val="00793EB0"/>
    <w:rsid w:val="007B2AA0"/>
    <w:rsid w:val="007B5403"/>
    <w:rsid w:val="007C1E17"/>
    <w:rsid w:val="007C2755"/>
    <w:rsid w:val="007F6456"/>
    <w:rsid w:val="008262BE"/>
    <w:rsid w:val="00830393"/>
    <w:rsid w:val="00833D5A"/>
    <w:rsid w:val="00860EE7"/>
    <w:rsid w:val="008778ED"/>
    <w:rsid w:val="00877A81"/>
    <w:rsid w:val="008931F6"/>
    <w:rsid w:val="008E2339"/>
    <w:rsid w:val="00935023"/>
    <w:rsid w:val="00960282"/>
    <w:rsid w:val="00967C80"/>
    <w:rsid w:val="009806A5"/>
    <w:rsid w:val="0099701A"/>
    <w:rsid w:val="009E265A"/>
    <w:rsid w:val="009F5E72"/>
    <w:rsid w:val="00A014D5"/>
    <w:rsid w:val="00A25B29"/>
    <w:rsid w:val="00A26F82"/>
    <w:rsid w:val="00A3198D"/>
    <w:rsid w:val="00A404B2"/>
    <w:rsid w:val="00A808E9"/>
    <w:rsid w:val="00B015D5"/>
    <w:rsid w:val="00B203FF"/>
    <w:rsid w:val="00B53154"/>
    <w:rsid w:val="00B72074"/>
    <w:rsid w:val="00BC2133"/>
    <w:rsid w:val="00BC620A"/>
    <w:rsid w:val="00BE4F3A"/>
    <w:rsid w:val="00C019A6"/>
    <w:rsid w:val="00C207AF"/>
    <w:rsid w:val="00C51537"/>
    <w:rsid w:val="00C572A2"/>
    <w:rsid w:val="00CD01A4"/>
    <w:rsid w:val="00D550B7"/>
    <w:rsid w:val="00D5526B"/>
    <w:rsid w:val="00D66962"/>
    <w:rsid w:val="00D87D9C"/>
    <w:rsid w:val="00D92B3B"/>
    <w:rsid w:val="00DA7DED"/>
    <w:rsid w:val="00DE307B"/>
    <w:rsid w:val="00DF4A30"/>
    <w:rsid w:val="00E0050C"/>
    <w:rsid w:val="00E2450C"/>
    <w:rsid w:val="00E340B5"/>
    <w:rsid w:val="00E4001E"/>
    <w:rsid w:val="00E53ACA"/>
    <w:rsid w:val="00E9409E"/>
    <w:rsid w:val="00E9707B"/>
    <w:rsid w:val="00EA6A22"/>
    <w:rsid w:val="00EC65E9"/>
    <w:rsid w:val="00ED73DE"/>
    <w:rsid w:val="00EF3163"/>
    <w:rsid w:val="00F4105E"/>
    <w:rsid w:val="00F616DA"/>
    <w:rsid w:val="00F76F95"/>
    <w:rsid w:val="00F9567C"/>
    <w:rsid w:val="00FC6FED"/>
    <w:rsid w:val="00FD2DF8"/>
    <w:rsid w:val="00FD4B8D"/>
    <w:rsid w:val="00FE4011"/>
    <w:rsid w:val="00FF4939"/>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073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2"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locked="1" w:qFormat="1"/>
    <w:lsdException w:name="footer" w:locked="1" w:qFormat="1"/>
    <w:lsdException w:name="caption" w:uiPriority="35" w:qFormat="1"/>
    <w:lsdException w:name="footnote reference" w:uiPriority="0"/>
    <w:lsdException w:name="annotation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A014D5"/>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locked/>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uiPriority w:val="2"/>
    <w:unhideWhenUsed/>
    <w:qFormat/>
    <w:locked/>
    <w:rsid w:val="00EC65E9"/>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locked/>
    <w:rsid w:val="00404702"/>
    <w:pPr>
      <w:keepNext/>
      <w:spacing w:before="240" w:after="240"/>
      <w:ind w:left="851" w:hanging="851"/>
      <w:outlineLvl w:val="2"/>
    </w:pPr>
    <w:rPr>
      <w:rFonts w:eastAsiaTheme="majorEastAsia" w:cstheme="majorBidi"/>
      <w:b/>
      <w:bCs/>
      <w:lang w:eastAsia="en-AU"/>
    </w:rPr>
  </w:style>
  <w:style w:type="paragraph" w:styleId="Heading4">
    <w:name w:val="heading 4"/>
    <w:aliases w:val="FSHeading 4,Subheading 2"/>
    <w:basedOn w:val="Normal"/>
    <w:next w:val="Normal"/>
    <w:link w:val="Heading4Char"/>
    <w:uiPriority w:val="9"/>
    <w:unhideWhenUsed/>
    <w:qFormat/>
    <w:locked/>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9"/>
    <w:unhideWhenUsed/>
    <w:qFormat/>
    <w:locked/>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9"/>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9"/>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hAnsi="Arial"/>
      <w:b w:val="0"/>
      <w:iCs w:val="0"/>
      <w:szCs w:val="20"/>
    </w:rPr>
  </w:style>
  <w:style w:type="paragraph" w:customStyle="1" w:styleId="142Tabletext1">
    <w:name w:val="1.4.2 Table text1"/>
    <w:basedOn w:val="Normal"/>
    <w:link w:val="142Tabletext1Char"/>
    <w:uiPriority w:val="22"/>
    <w:qFormat/>
    <w:rsid w:val="00404702"/>
    <w:pPr>
      <w:ind w:left="142" w:hanging="142"/>
    </w:pPr>
    <w:rPr>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caps/>
      <w:szCs w:val="20"/>
    </w:rPr>
  </w:style>
  <w:style w:type="paragraph" w:customStyle="1" w:styleId="Clause">
    <w:name w:val="Clause"/>
    <w:basedOn w:val="Normal"/>
    <w:next w:val="Normal"/>
    <w:link w:val="ClauseChar"/>
    <w:uiPriority w:val="10"/>
    <w:qFormat/>
    <w:rsid w:val="00C019A6"/>
    <w:pPr>
      <w:tabs>
        <w:tab w:val="left" w:pos="851"/>
      </w:tabs>
    </w:pPr>
    <w:rPr>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locked/>
    <w:rsid w:val="00404702"/>
    <w:rPr>
      <w:sz w:val="20"/>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qFormat/>
    <w:rsid w:val="00E53ACA"/>
    <w:rPr>
      <w:sz w:val="18"/>
      <w:szCs w:val="20"/>
    </w:rPr>
  </w:style>
  <w:style w:type="character" w:customStyle="1" w:styleId="FootnoteTextChar">
    <w:name w:val="Footnote Text Char"/>
    <w:aliases w:val="Footnotes Text Char,FSFootnotes Text Char"/>
    <w:basedOn w:val="DefaultParagraphFont"/>
    <w:link w:val="FootnoteText"/>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numPr>
        <w:numId w:val="11"/>
      </w:numPr>
      <w:ind w:left="567" w:hanging="567"/>
    </w:pPr>
    <w:rPr>
      <w:rFonts w:cs="Arial"/>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numPr>
        <w:numId w:val="12"/>
      </w:numPr>
      <w:ind w:left="1134" w:hanging="567"/>
    </w:pPr>
  </w:style>
  <w:style w:type="paragraph" w:customStyle="1" w:styleId="FSBullet3">
    <w:name w:val="FSBullet 3"/>
    <w:basedOn w:val="Normal"/>
    <w:uiPriority w:val="6"/>
    <w:qFormat/>
    <w:locked/>
    <w:rsid w:val="006B6900"/>
    <w:pPr>
      <w:keepNext/>
      <w:numPr>
        <w:numId w:val="13"/>
      </w:numPr>
      <w:ind w:left="1701" w:hanging="567"/>
    </w:pPr>
  </w:style>
  <w:style w:type="paragraph" w:customStyle="1" w:styleId="FSCaption">
    <w:name w:val="FSCaption"/>
    <w:basedOn w:val="Normal"/>
    <w:uiPriority w:val="9"/>
    <w:qFormat/>
    <w:locked/>
    <w:rsid w:val="00404702"/>
    <w:pPr>
      <w:keepNext/>
      <w:keepLines/>
      <w:spacing w:before="120"/>
    </w:pPr>
    <w:rPr>
      <w:i/>
      <w:sz w:val="16"/>
      <w:szCs w:val="16"/>
    </w:rPr>
  </w:style>
  <w:style w:type="paragraph" w:customStyle="1" w:styleId="FSCFootnote">
    <w:name w:val="FSCFootnote"/>
    <w:basedOn w:val="Normal"/>
    <w:next w:val="Normal"/>
    <w:uiPriority w:val="17"/>
    <w:qFormat/>
    <w:locked/>
    <w:rsid w:val="00404702"/>
    <w:rPr>
      <w:sz w:val="16"/>
      <w:szCs w:val="20"/>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sz w:val="20"/>
      <w:szCs w:val="20"/>
    </w:rPr>
  </w:style>
  <w:style w:type="paragraph" w:customStyle="1" w:styleId="FSTableColumnRowheading">
    <w:name w:val="FSTable Column/Row heading"/>
    <w:basedOn w:val="Normal"/>
    <w:uiPriority w:val="8"/>
    <w:qFormat/>
    <w:locked/>
    <w:rsid w:val="00404702"/>
    <w:pPr>
      <w:spacing w:before="120" w:after="120"/>
    </w:pPr>
    <w:rPr>
      <w:b/>
      <w:sz w:val="20"/>
      <w:szCs w:val="20"/>
    </w:rPr>
  </w:style>
  <w:style w:type="paragraph" w:customStyle="1" w:styleId="FSTableFigureHeading">
    <w:name w:val="FSTable/Figure Heading"/>
    <w:basedOn w:val="Normal"/>
    <w:uiPriority w:val="7"/>
    <w:qFormat/>
    <w:locked/>
    <w:rsid w:val="00404702"/>
    <w:pPr>
      <w:spacing w:before="120" w:after="120"/>
      <w:ind w:left="1134" w:hanging="1134"/>
    </w:pPr>
    <w:rPr>
      <w:b/>
      <w:i/>
    </w:rPr>
  </w:style>
  <w:style w:type="paragraph" w:styleId="Header">
    <w:name w:val="header"/>
    <w:aliases w:val="FSHeader"/>
    <w:basedOn w:val="Normal"/>
    <w:link w:val="HeaderChar"/>
    <w:uiPriority w:val="3"/>
    <w:unhideWhenUsed/>
    <w:qFormat/>
    <w:locked/>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b/>
      <w:caps/>
      <w:sz w:val="20"/>
      <w:szCs w:val="20"/>
    </w:rPr>
  </w:style>
  <w:style w:type="paragraph" w:customStyle="1" w:styleId="Standardtitle">
    <w:name w:val="Standard title"/>
    <w:basedOn w:val="Normal"/>
    <w:uiPriority w:val="18"/>
    <w:qFormat/>
    <w:rsid w:val="00404702"/>
    <w:pPr>
      <w:keepNext/>
      <w:tabs>
        <w:tab w:val="left" w:pos="851"/>
      </w:tabs>
      <w:jc w:val="center"/>
    </w:pPr>
    <w:rPr>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qFormat/>
    <w:rsid w:val="00DF4A30"/>
    <w:pPr>
      <w:ind w:left="720"/>
      <w:contextualSpacing/>
    </w:pPr>
  </w:style>
  <w:style w:type="paragraph" w:customStyle="1" w:styleId="FSBullet">
    <w:name w:val="FS Bullet"/>
    <w:basedOn w:val="Normal"/>
    <w:next w:val="Normal"/>
    <w:link w:val="FSBulletChar"/>
    <w:qFormat/>
    <w:rsid w:val="00A014D5"/>
    <w:pPr>
      <w:numPr>
        <w:numId w:val="14"/>
      </w:numPr>
      <w:ind w:left="567" w:hanging="567"/>
    </w:pPr>
    <w:rPr>
      <w:rFonts w:cs="Arial"/>
      <w:lang w:bidi="ar-SA"/>
    </w:rPr>
  </w:style>
  <w:style w:type="character" w:customStyle="1" w:styleId="FSBulletChar">
    <w:name w:val="FS Bullet Char"/>
    <w:basedOn w:val="DefaultParagraphFont"/>
    <w:link w:val="FSBullet"/>
    <w:rsid w:val="00A014D5"/>
    <w:rPr>
      <w:rFonts w:eastAsia="Times New Roman"/>
      <w:szCs w:val="24"/>
      <w:lang w:val="en-GB"/>
    </w:rPr>
  </w:style>
  <w:style w:type="character" w:styleId="CommentReference">
    <w:name w:val="annotation reference"/>
    <w:basedOn w:val="DefaultParagraphFont"/>
    <w:rsid w:val="00A014D5"/>
    <w:rPr>
      <w:sz w:val="16"/>
      <w:szCs w:val="16"/>
    </w:rPr>
  </w:style>
  <w:style w:type="paragraph" w:styleId="CommentText">
    <w:name w:val="annotation text"/>
    <w:basedOn w:val="Normal"/>
    <w:link w:val="CommentTextChar"/>
    <w:uiPriority w:val="99"/>
    <w:rsid w:val="00A014D5"/>
    <w:rPr>
      <w:sz w:val="20"/>
      <w:szCs w:val="20"/>
    </w:rPr>
  </w:style>
  <w:style w:type="character" w:customStyle="1" w:styleId="CommentTextChar">
    <w:name w:val="Comment Text Char"/>
    <w:basedOn w:val="DefaultParagraphFont"/>
    <w:link w:val="CommentText"/>
    <w:uiPriority w:val="99"/>
    <w:rsid w:val="00A014D5"/>
    <w:rPr>
      <w:rFonts w:eastAsia="Times New Roman" w:cs="Times New Roman"/>
      <w:sz w:val="20"/>
      <w:szCs w:val="20"/>
      <w:lang w:val="en-GB" w:bidi="en-US"/>
    </w:rPr>
  </w:style>
  <w:style w:type="paragraph" w:customStyle="1" w:styleId="AARTableText">
    <w:name w:val="AAR Table Text"/>
    <w:basedOn w:val="Normal"/>
    <w:qFormat/>
    <w:rsid w:val="00A014D5"/>
    <w:pPr>
      <w:widowControl/>
      <w:spacing w:before="60" w:after="60"/>
    </w:pPr>
    <w:rPr>
      <w:rFonts w:cs="Arial"/>
      <w:sz w:val="20"/>
      <w:szCs w:val="20"/>
      <w:lang w:val="en-AU" w:bidi="ar-SA"/>
    </w:rPr>
  </w:style>
  <w:style w:type="paragraph" w:styleId="BalloonText">
    <w:name w:val="Balloon Text"/>
    <w:basedOn w:val="Normal"/>
    <w:link w:val="BalloonTextChar"/>
    <w:uiPriority w:val="99"/>
    <w:semiHidden/>
    <w:unhideWhenUsed/>
    <w:rsid w:val="00A014D5"/>
    <w:rPr>
      <w:rFonts w:ascii="Tahoma" w:hAnsi="Tahoma" w:cs="Tahoma"/>
      <w:sz w:val="16"/>
      <w:szCs w:val="16"/>
    </w:rPr>
  </w:style>
  <w:style w:type="character" w:customStyle="1" w:styleId="BalloonTextChar">
    <w:name w:val="Balloon Text Char"/>
    <w:basedOn w:val="DefaultParagraphFont"/>
    <w:link w:val="BalloonText"/>
    <w:uiPriority w:val="99"/>
    <w:semiHidden/>
    <w:rsid w:val="00A014D5"/>
    <w:rPr>
      <w:rFonts w:ascii="Tahoma" w:eastAsia="Times New Roman" w:hAnsi="Tahoma" w:cs="Tahoma"/>
      <w:sz w:val="16"/>
      <w:szCs w:val="16"/>
      <w:lang w:val="en-GB" w:bidi="en-US"/>
    </w:rPr>
  </w:style>
  <w:style w:type="character" w:styleId="Hyperlink">
    <w:name w:val="Hyperlink"/>
    <w:basedOn w:val="DefaultParagraphFont"/>
    <w:uiPriority w:val="99"/>
    <w:rsid w:val="00A014D5"/>
    <w:rPr>
      <w:rFonts w:ascii="Arial" w:hAnsi="Arial"/>
      <w:color w:val="3333FF"/>
      <w:u w:val="single"/>
    </w:rPr>
  </w:style>
  <w:style w:type="character" w:styleId="FootnoteReference">
    <w:name w:val="footnote reference"/>
    <w:basedOn w:val="DefaultParagraphFont"/>
    <w:rsid w:val="00A014D5"/>
    <w:rPr>
      <w:vertAlign w:val="superscript"/>
    </w:rPr>
  </w:style>
  <w:style w:type="paragraph" w:customStyle="1" w:styleId="FSTitle">
    <w:name w:val="FS Title"/>
    <w:basedOn w:val="Normal"/>
    <w:qFormat/>
    <w:rsid w:val="00E9707B"/>
    <w:rPr>
      <w:rFonts w:cs="Tahoma"/>
      <w:bCs/>
      <w:sz w:val="32"/>
    </w:rPr>
  </w:style>
  <w:style w:type="table" w:styleId="TableGrid">
    <w:name w:val="Table Grid"/>
    <w:basedOn w:val="TableNormal"/>
    <w:uiPriority w:val="59"/>
    <w:rsid w:val="00E9707B"/>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link w:val="CommentSubjectChar"/>
    <w:uiPriority w:val="99"/>
    <w:semiHidden/>
    <w:unhideWhenUsed/>
    <w:rsid w:val="002A7930"/>
    <w:rPr>
      <w:b/>
      <w:bCs/>
    </w:rPr>
  </w:style>
  <w:style w:type="character" w:customStyle="1" w:styleId="CommentSubjectChar">
    <w:name w:val="Comment Subject Char"/>
    <w:basedOn w:val="CommentTextChar"/>
    <w:link w:val="CommentSubject"/>
    <w:uiPriority w:val="99"/>
    <w:semiHidden/>
    <w:rsid w:val="002A7930"/>
    <w:rPr>
      <w:rFonts w:eastAsia="Times New Roman" w:cs="Times New Roman"/>
      <w:b/>
      <w:bCs/>
      <w:sz w:val="20"/>
      <w:szCs w:val="20"/>
      <w:lang w:val="en-GB" w:bidi="en-US"/>
    </w:rPr>
  </w:style>
  <w:style w:type="character" w:styleId="FollowedHyperlink">
    <w:name w:val="FollowedHyperlink"/>
    <w:basedOn w:val="DefaultParagraphFont"/>
    <w:uiPriority w:val="99"/>
    <w:semiHidden/>
    <w:unhideWhenUsed/>
    <w:rsid w:val="0009352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2"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locked="1" w:qFormat="1"/>
    <w:lsdException w:name="footer" w:locked="1" w:qFormat="1"/>
    <w:lsdException w:name="caption" w:uiPriority="35" w:qFormat="1"/>
    <w:lsdException w:name="footnote reference" w:uiPriority="0"/>
    <w:lsdException w:name="annotation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A014D5"/>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locked/>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uiPriority w:val="2"/>
    <w:unhideWhenUsed/>
    <w:qFormat/>
    <w:locked/>
    <w:rsid w:val="00EC65E9"/>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locked/>
    <w:rsid w:val="00404702"/>
    <w:pPr>
      <w:keepNext/>
      <w:spacing w:before="240" w:after="240"/>
      <w:ind w:left="851" w:hanging="851"/>
      <w:outlineLvl w:val="2"/>
    </w:pPr>
    <w:rPr>
      <w:rFonts w:eastAsiaTheme="majorEastAsia" w:cstheme="majorBidi"/>
      <w:b/>
      <w:bCs/>
      <w:lang w:eastAsia="en-AU"/>
    </w:rPr>
  </w:style>
  <w:style w:type="paragraph" w:styleId="Heading4">
    <w:name w:val="heading 4"/>
    <w:aliases w:val="FSHeading 4,Subheading 2"/>
    <w:basedOn w:val="Normal"/>
    <w:next w:val="Normal"/>
    <w:link w:val="Heading4Char"/>
    <w:uiPriority w:val="9"/>
    <w:unhideWhenUsed/>
    <w:qFormat/>
    <w:locked/>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9"/>
    <w:unhideWhenUsed/>
    <w:qFormat/>
    <w:locked/>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9"/>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9"/>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hAnsi="Arial"/>
      <w:b w:val="0"/>
      <w:iCs w:val="0"/>
      <w:szCs w:val="20"/>
    </w:rPr>
  </w:style>
  <w:style w:type="paragraph" w:customStyle="1" w:styleId="142Tabletext1">
    <w:name w:val="1.4.2 Table text1"/>
    <w:basedOn w:val="Normal"/>
    <w:link w:val="142Tabletext1Char"/>
    <w:uiPriority w:val="22"/>
    <w:qFormat/>
    <w:rsid w:val="00404702"/>
    <w:pPr>
      <w:ind w:left="142" w:hanging="142"/>
    </w:pPr>
    <w:rPr>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caps/>
      <w:szCs w:val="20"/>
    </w:rPr>
  </w:style>
  <w:style w:type="paragraph" w:customStyle="1" w:styleId="Clause">
    <w:name w:val="Clause"/>
    <w:basedOn w:val="Normal"/>
    <w:next w:val="Normal"/>
    <w:link w:val="ClauseChar"/>
    <w:uiPriority w:val="10"/>
    <w:qFormat/>
    <w:rsid w:val="00C019A6"/>
    <w:pPr>
      <w:tabs>
        <w:tab w:val="left" w:pos="851"/>
      </w:tabs>
    </w:pPr>
    <w:rPr>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locked/>
    <w:rsid w:val="00404702"/>
    <w:rPr>
      <w:sz w:val="20"/>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qFormat/>
    <w:rsid w:val="00E53ACA"/>
    <w:rPr>
      <w:sz w:val="18"/>
      <w:szCs w:val="20"/>
    </w:rPr>
  </w:style>
  <w:style w:type="character" w:customStyle="1" w:styleId="FootnoteTextChar">
    <w:name w:val="Footnote Text Char"/>
    <w:aliases w:val="Footnotes Text Char,FSFootnotes Text Char"/>
    <w:basedOn w:val="DefaultParagraphFont"/>
    <w:link w:val="FootnoteText"/>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numPr>
        <w:numId w:val="11"/>
      </w:numPr>
      <w:ind w:left="567" w:hanging="567"/>
    </w:pPr>
    <w:rPr>
      <w:rFonts w:cs="Arial"/>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numPr>
        <w:numId w:val="12"/>
      </w:numPr>
      <w:ind w:left="1134" w:hanging="567"/>
    </w:pPr>
  </w:style>
  <w:style w:type="paragraph" w:customStyle="1" w:styleId="FSBullet3">
    <w:name w:val="FSBullet 3"/>
    <w:basedOn w:val="Normal"/>
    <w:uiPriority w:val="6"/>
    <w:qFormat/>
    <w:locked/>
    <w:rsid w:val="006B6900"/>
    <w:pPr>
      <w:keepNext/>
      <w:numPr>
        <w:numId w:val="13"/>
      </w:numPr>
      <w:ind w:left="1701" w:hanging="567"/>
    </w:pPr>
  </w:style>
  <w:style w:type="paragraph" w:customStyle="1" w:styleId="FSCaption">
    <w:name w:val="FSCaption"/>
    <w:basedOn w:val="Normal"/>
    <w:uiPriority w:val="9"/>
    <w:qFormat/>
    <w:locked/>
    <w:rsid w:val="00404702"/>
    <w:pPr>
      <w:keepNext/>
      <w:keepLines/>
      <w:spacing w:before="120"/>
    </w:pPr>
    <w:rPr>
      <w:i/>
      <w:sz w:val="16"/>
      <w:szCs w:val="16"/>
    </w:rPr>
  </w:style>
  <w:style w:type="paragraph" w:customStyle="1" w:styleId="FSCFootnote">
    <w:name w:val="FSCFootnote"/>
    <w:basedOn w:val="Normal"/>
    <w:next w:val="Normal"/>
    <w:uiPriority w:val="17"/>
    <w:qFormat/>
    <w:locked/>
    <w:rsid w:val="00404702"/>
    <w:rPr>
      <w:sz w:val="16"/>
      <w:szCs w:val="20"/>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sz w:val="20"/>
      <w:szCs w:val="20"/>
    </w:rPr>
  </w:style>
  <w:style w:type="paragraph" w:customStyle="1" w:styleId="FSTableColumnRowheading">
    <w:name w:val="FSTable Column/Row heading"/>
    <w:basedOn w:val="Normal"/>
    <w:uiPriority w:val="8"/>
    <w:qFormat/>
    <w:locked/>
    <w:rsid w:val="00404702"/>
    <w:pPr>
      <w:spacing w:before="120" w:after="120"/>
    </w:pPr>
    <w:rPr>
      <w:b/>
      <w:sz w:val="20"/>
      <w:szCs w:val="20"/>
    </w:rPr>
  </w:style>
  <w:style w:type="paragraph" w:customStyle="1" w:styleId="FSTableFigureHeading">
    <w:name w:val="FSTable/Figure Heading"/>
    <w:basedOn w:val="Normal"/>
    <w:uiPriority w:val="7"/>
    <w:qFormat/>
    <w:locked/>
    <w:rsid w:val="00404702"/>
    <w:pPr>
      <w:spacing w:before="120" w:after="120"/>
      <w:ind w:left="1134" w:hanging="1134"/>
    </w:pPr>
    <w:rPr>
      <w:b/>
      <w:i/>
    </w:rPr>
  </w:style>
  <w:style w:type="paragraph" w:styleId="Header">
    <w:name w:val="header"/>
    <w:aliases w:val="FSHeader"/>
    <w:basedOn w:val="Normal"/>
    <w:link w:val="HeaderChar"/>
    <w:uiPriority w:val="3"/>
    <w:unhideWhenUsed/>
    <w:qFormat/>
    <w:locked/>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b/>
      <w:caps/>
      <w:sz w:val="20"/>
      <w:szCs w:val="20"/>
    </w:rPr>
  </w:style>
  <w:style w:type="paragraph" w:customStyle="1" w:styleId="Standardtitle">
    <w:name w:val="Standard title"/>
    <w:basedOn w:val="Normal"/>
    <w:uiPriority w:val="18"/>
    <w:qFormat/>
    <w:rsid w:val="00404702"/>
    <w:pPr>
      <w:keepNext/>
      <w:tabs>
        <w:tab w:val="left" w:pos="851"/>
      </w:tabs>
      <w:jc w:val="center"/>
    </w:pPr>
    <w:rPr>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qFormat/>
    <w:rsid w:val="00DF4A30"/>
    <w:pPr>
      <w:ind w:left="720"/>
      <w:contextualSpacing/>
    </w:pPr>
  </w:style>
  <w:style w:type="paragraph" w:customStyle="1" w:styleId="FSBullet">
    <w:name w:val="FS Bullet"/>
    <w:basedOn w:val="Normal"/>
    <w:next w:val="Normal"/>
    <w:link w:val="FSBulletChar"/>
    <w:qFormat/>
    <w:rsid w:val="00A014D5"/>
    <w:pPr>
      <w:numPr>
        <w:numId w:val="14"/>
      </w:numPr>
      <w:ind w:left="567" w:hanging="567"/>
    </w:pPr>
    <w:rPr>
      <w:rFonts w:cs="Arial"/>
      <w:lang w:bidi="ar-SA"/>
    </w:rPr>
  </w:style>
  <w:style w:type="character" w:customStyle="1" w:styleId="FSBulletChar">
    <w:name w:val="FS Bullet Char"/>
    <w:basedOn w:val="DefaultParagraphFont"/>
    <w:link w:val="FSBullet"/>
    <w:rsid w:val="00A014D5"/>
    <w:rPr>
      <w:rFonts w:eastAsia="Times New Roman"/>
      <w:szCs w:val="24"/>
      <w:lang w:val="en-GB"/>
    </w:rPr>
  </w:style>
  <w:style w:type="character" w:styleId="CommentReference">
    <w:name w:val="annotation reference"/>
    <w:basedOn w:val="DefaultParagraphFont"/>
    <w:rsid w:val="00A014D5"/>
    <w:rPr>
      <w:sz w:val="16"/>
      <w:szCs w:val="16"/>
    </w:rPr>
  </w:style>
  <w:style w:type="paragraph" w:styleId="CommentText">
    <w:name w:val="annotation text"/>
    <w:basedOn w:val="Normal"/>
    <w:link w:val="CommentTextChar"/>
    <w:uiPriority w:val="99"/>
    <w:rsid w:val="00A014D5"/>
    <w:rPr>
      <w:sz w:val="20"/>
      <w:szCs w:val="20"/>
    </w:rPr>
  </w:style>
  <w:style w:type="character" w:customStyle="1" w:styleId="CommentTextChar">
    <w:name w:val="Comment Text Char"/>
    <w:basedOn w:val="DefaultParagraphFont"/>
    <w:link w:val="CommentText"/>
    <w:uiPriority w:val="99"/>
    <w:rsid w:val="00A014D5"/>
    <w:rPr>
      <w:rFonts w:eastAsia="Times New Roman" w:cs="Times New Roman"/>
      <w:sz w:val="20"/>
      <w:szCs w:val="20"/>
      <w:lang w:val="en-GB" w:bidi="en-US"/>
    </w:rPr>
  </w:style>
  <w:style w:type="paragraph" w:customStyle="1" w:styleId="AARTableText">
    <w:name w:val="AAR Table Text"/>
    <w:basedOn w:val="Normal"/>
    <w:qFormat/>
    <w:rsid w:val="00A014D5"/>
    <w:pPr>
      <w:widowControl/>
      <w:spacing w:before="60" w:after="60"/>
    </w:pPr>
    <w:rPr>
      <w:rFonts w:cs="Arial"/>
      <w:sz w:val="20"/>
      <w:szCs w:val="20"/>
      <w:lang w:val="en-AU" w:bidi="ar-SA"/>
    </w:rPr>
  </w:style>
  <w:style w:type="paragraph" w:styleId="BalloonText">
    <w:name w:val="Balloon Text"/>
    <w:basedOn w:val="Normal"/>
    <w:link w:val="BalloonTextChar"/>
    <w:uiPriority w:val="99"/>
    <w:semiHidden/>
    <w:unhideWhenUsed/>
    <w:rsid w:val="00A014D5"/>
    <w:rPr>
      <w:rFonts w:ascii="Tahoma" w:hAnsi="Tahoma" w:cs="Tahoma"/>
      <w:sz w:val="16"/>
      <w:szCs w:val="16"/>
    </w:rPr>
  </w:style>
  <w:style w:type="character" w:customStyle="1" w:styleId="BalloonTextChar">
    <w:name w:val="Balloon Text Char"/>
    <w:basedOn w:val="DefaultParagraphFont"/>
    <w:link w:val="BalloonText"/>
    <w:uiPriority w:val="99"/>
    <w:semiHidden/>
    <w:rsid w:val="00A014D5"/>
    <w:rPr>
      <w:rFonts w:ascii="Tahoma" w:eastAsia="Times New Roman" w:hAnsi="Tahoma" w:cs="Tahoma"/>
      <w:sz w:val="16"/>
      <w:szCs w:val="16"/>
      <w:lang w:val="en-GB" w:bidi="en-US"/>
    </w:rPr>
  </w:style>
  <w:style w:type="character" w:styleId="Hyperlink">
    <w:name w:val="Hyperlink"/>
    <w:basedOn w:val="DefaultParagraphFont"/>
    <w:uiPriority w:val="99"/>
    <w:rsid w:val="00A014D5"/>
    <w:rPr>
      <w:rFonts w:ascii="Arial" w:hAnsi="Arial"/>
      <w:color w:val="3333FF"/>
      <w:u w:val="single"/>
    </w:rPr>
  </w:style>
  <w:style w:type="character" w:styleId="FootnoteReference">
    <w:name w:val="footnote reference"/>
    <w:basedOn w:val="DefaultParagraphFont"/>
    <w:rsid w:val="00A014D5"/>
    <w:rPr>
      <w:vertAlign w:val="superscript"/>
    </w:rPr>
  </w:style>
  <w:style w:type="paragraph" w:customStyle="1" w:styleId="FSTitle">
    <w:name w:val="FS Title"/>
    <w:basedOn w:val="Normal"/>
    <w:qFormat/>
    <w:rsid w:val="00E9707B"/>
    <w:rPr>
      <w:rFonts w:cs="Tahoma"/>
      <w:bCs/>
      <w:sz w:val="32"/>
    </w:rPr>
  </w:style>
  <w:style w:type="table" w:styleId="TableGrid">
    <w:name w:val="Table Grid"/>
    <w:basedOn w:val="TableNormal"/>
    <w:uiPriority w:val="59"/>
    <w:rsid w:val="00E9707B"/>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link w:val="CommentSubjectChar"/>
    <w:uiPriority w:val="99"/>
    <w:semiHidden/>
    <w:unhideWhenUsed/>
    <w:rsid w:val="002A7930"/>
    <w:rPr>
      <w:b/>
      <w:bCs/>
    </w:rPr>
  </w:style>
  <w:style w:type="character" w:customStyle="1" w:styleId="CommentSubjectChar">
    <w:name w:val="Comment Subject Char"/>
    <w:basedOn w:val="CommentTextChar"/>
    <w:link w:val="CommentSubject"/>
    <w:uiPriority w:val="99"/>
    <w:semiHidden/>
    <w:rsid w:val="002A7930"/>
    <w:rPr>
      <w:rFonts w:eastAsia="Times New Roman" w:cs="Times New Roman"/>
      <w:b/>
      <w:bCs/>
      <w:sz w:val="20"/>
      <w:szCs w:val="20"/>
      <w:lang w:val="en-GB" w:bidi="en-US"/>
    </w:rPr>
  </w:style>
  <w:style w:type="character" w:styleId="FollowedHyperlink">
    <w:name w:val="FollowedHyperlink"/>
    <w:basedOn w:val="DefaultParagraphFont"/>
    <w:uiPriority w:val="99"/>
    <w:semiHidden/>
    <w:unhideWhenUsed/>
    <w:rsid w:val="000935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870388">
      <w:bodyDiv w:val="1"/>
      <w:marLeft w:val="0"/>
      <w:marRight w:val="0"/>
      <w:marTop w:val="0"/>
      <w:marBottom w:val="0"/>
      <w:divBdr>
        <w:top w:val="none" w:sz="0" w:space="0" w:color="auto"/>
        <w:left w:val="none" w:sz="0" w:space="0" w:color="auto"/>
        <w:bottom w:val="none" w:sz="0" w:space="0" w:color="auto"/>
        <w:right w:val="none" w:sz="0" w:space="0" w:color="auto"/>
      </w:divBdr>
    </w:div>
    <w:div w:id="111991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foodstandards.gov.au/code/fofr/fofrpolicy/pages/default.aspx" TargetMode="Externa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foodstandards.gov.au/code/fofr/fofrpolicy/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CBAC851-D80F-4C09-84A8-9346A2E266B3}"/>
</file>

<file path=customXml/itemProps2.xml><?xml version="1.0" encoding="utf-8"?>
<ds:datastoreItem xmlns:ds="http://schemas.openxmlformats.org/officeDocument/2006/customXml" ds:itemID="{C05BC98A-DA5A-490D-8808-59242E198E6B}"/>
</file>

<file path=customXml/itemProps3.xml><?xml version="1.0" encoding="utf-8"?>
<ds:datastoreItem xmlns:ds="http://schemas.openxmlformats.org/officeDocument/2006/customXml" ds:itemID="{B55D7FC3-60E2-48E0-A762-2D530FB8D912}"/>
</file>

<file path=customXml/itemProps4.xml><?xml version="1.0" encoding="utf-8"?>
<ds:datastoreItem xmlns:ds="http://schemas.openxmlformats.org/officeDocument/2006/customXml" ds:itemID="{938AB505-D83D-42B5-A8FB-42F70DC53A7B}"/>
</file>

<file path=docProps/app.xml><?xml version="1.0" encoding="utf-8"?>
<Properties xmlns="http://schemas.openxmlformats.org/officeDocument/2006/extended-properties" xmlns:vt="http://schemas.openxmlformats.org/officeDocument/2006/docPropsVTypes">
  <Template>Normal</Template>
  <TotalTime>0</TotalTime>
  <Pages>5</Pages>
  <Words>1097</Words>
  <Characters>6259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A1134 Plant sterols in breakfast cereals SD2 Assess against policy g'lines</dc:title>
  <dc:creator/>
  <cp:keywords/>
  <cp:lastModifiedBy/>
  <cp:revision>1</cp:revision>
  <dcterms:created xsi:type="dcterms:W3CDTF">2016-12-07T03:28:00Z</dcterms:created>
  <dcterms:modified xsi:type="dcterms:W3CDTF">2016-12-07T03:28:00Z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ies>
</file>